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A" w:rsidRDefault="00AF29A3"/>
    <w:p w:rsidR="006B0EEF" w:rsidRDefault="006B0EEF" w:rsidP="006B0E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4"/>
          <w:lang w:eastAsia="it-IT"/>
        </w:rPr>
      </w:pPr>
    </w:p>
    <w:p w:rsidR="006B0EEF" w:rsidRDefault="006B0EEF" w:rsidP="006B0E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4"/>
          <w:lang w:eastAsia="it-IT"/>
        </w:rPr>
      </w:pPr>
    </w:p>
    <w:p w:rsidR="006B0EEF" w:rsidRPr="006B0EEF" w:rsidRDefault="006B0EEF" w:rsidP="006B0E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</w:pP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Legge (</w:t>
      </w:r>
      <w:r w:rsidRPr="006B0EEF">
        <w:rPr>
          <w:rFonts w:ascii="Open Sans" w:eastAsia="Times New Roman" w:hAnsi="Open Sans" w:cs="Times New Roman"/>
          <w:b/>
          <w:bCs/>
          <w:color w:val="444444"/>
          <w:sz w:val="32"/>
          <w:szCs w:val="24"/>
          <w:lang w:eastAsia="it-IT"/>
        </w:rPr>
        <w:t>n. 76 del 28 maggio 2021</w:t>
      </w: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) del</w:t>
      </w:r>
      <w:r w:rsidRPr="006B0EEF">
        <w:rPr>
          <w:rFonts w:ascii="Open Sans" w:eastAsia="Times New Roman" w:hAnsi="Open Sans" w:cs="Times New Roman"/>
          <w:b/>
          <w:bCs/>
          <w:color w:val="444444"/>
          <w:sz w:val="32"/>
          <w:szCs w:val="24"/>
          <w:lang w:eastAsia="it-IT"/>
        </w:rPr>
        <w:t> </w:t>
      </w:r>
      <w:proofErr w:type="spellStart"/>
      <w:r w:rsidRPr="006B0EEF">
        <w:rPr>
          <w:rFonts w:ascii="Open Sans" w:eastAsia="Times New Roman" w:hAnsi="Open Sans" w:cs="Times New Roman"/>
          <w:b/>
          <w:bCs/>
          <w:color w:val="444444"/>
          <w:sz w:val="32"/>
          <w:szCs w:val="24"/>
          <w:lang w:eastAsia="it-IT"/>
        </w:rPr>
        <w:t>Dlgs</w:t>
      </w:r>
      <w:proofErr w:type="spellEnd"/>
      <w:r w:rsidRPr="006B0EEF">
        <w:rPr>
          <w:rFonts w:ascii="Open Sans" w:eastAsia="Times New Roman" w:hAnsi="Open Sans" w:cs="Times New Roman"/>
          <w:b/>
          <w:bCs/>
          <w:color w:val="444444"/>
          <w:sz w:val="32"/>
          <w:szCs w:val="24"/>
          <w:lang w:eastAsia="it-IT"/>
        </w:rPr>
        <w:t xml:space="preserve"> 1 aprile 2021 n. 44 </w:t>
      </w: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recante misure urgenti per il contenimento dell’epidemia da Covid19 in materia di vaccinazioni an</w:t>
      </w:r>
      <w:r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t</w:t>
      </w: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 xml:space="preserve">i </w:t>
      </w:r>
      <w:proofErr w:type="spellStart"/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Sars</w:t>
      </w:r>
      <w:proofErr w:type="spellEnd"/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-Co V2, di giustizia e di concorsi pubblici.</w:t>
      </w:r>
      <w:bookmarkStart w:id="0" w:name="_GoBack"/>
      <w:bookmarkEnd w:id="0"/>
    </w:p>
    <w:p w:rsidR="006B0EEF" w:rsidRPr="006B0EEF" w:rsidRDefault="006B0EEF" w:rsidP="006B0EE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</w:pP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 xml:space="preserve"> “</w:t>
      </w:r>
      <w:r w:rsidRPr="006B0EEF">
        <w:rPr>
          <w:rFonts w:ascii="Open Sans" w:eastAsia="Times New Roman" w:hAnsi="Open Sans" w:cs="Times New Roman"/>
          <w:b/>
          <w:bCs/>
          <w:color w:val="444444"/>
          <w:sz w:val="32"/>
          <w:szCs w:val="24"/>
          <w:lang w:eastAsia="it-IT"/>
        </w:rPr>
        <w:t>Responsabilità colposa per morte o lesioni personali durante lo stato di emergenza epidemiologica da Covid19</w:t>
      </w: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”.</w:t>
      </w:r>
    </w:p>
    <w:p w:rsidR="006B0EEF" w:rsidRPr="006B0EEF" w:rsidRDefault="006B0EEF" w:rsidP="006B0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</w:pPr>
      <w:r w:rsidRPr="006B0EEF">
        <w:rPr>
          <w:rFonts w:ascii="Open Sans" w:eastAsia="Times New Roman" w:hAnsi="Open Sans" w:cs="Times New Roman"/>
          <w:b/>
          <w:color w:val="444444"/>
          <w:sz w:val="34"/>
          <w:szCs w:val="24"/>
          <w:lang w:eastAsia="it-IT"/>
        </w:rPr>
        <w:t>Durante lo stato di emergenza</w:t>
      </w:r>
      <w:r w:rsidRPr="006B0EEF">
        <w:rPr>
          <w:rFonts w:ascii="Open Sans" w:eastAsia="Times New Roman" w:hAnsi="Open Sans" w:cs="Times New Roman"/>
          <w:color w:val="444444"/>
          <w:sz w:val="34"/>
          <w:szCs w:val="24"/>
          <w:lang w:eastAsia="it-IT"/>
        </w:rPr>
        <w:t xml:space="preserve"> </w:t>
      </w: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epidemiologica da COVID-19, dichiarato con delibera del Consiglio dei ministri del 31 gennaio 2020, e successive proroghe, i fatti di cui agli articoli 589 e 590 del codice penale, commessi nell’esercizio di una professione sanitaria e che trovano causa nella situazione di emergenza, sono punibili solo nei casi di colpa grave.</w:t>
      </w:r>
    </w:p>
    <w:p w:rsidR="006B0EEF" w:rsidRPr="006B0EEF" w:rsidRDefault="006B0EEF" w:rsidP="006B0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</w:pPr>
      <w:r w:rsidRPr="006B0EEF">
        <w:rPr>
          <w:rFonts w:ascii="Open Sans" w:eastAsia="Times New Roman" w:hAnsi="Open Sans" w:cs="Times New Roman"/>
          <w:color w:val="444444"/>
          <w:sz w:val="32"/>
          <w:szCs w:val="24"/>
          <w:lang w:eastAsia="it-IT"/>
        </w:rPr>
        <w:t>Ai fini della valutazione del grado della colpa, il giudice tiene conto, tra i fattori che ne possono escludere la gravità, della limitatezza delle conoscenze scientifiche al momento del fatto sulle patologie da SARS-CoV-2 e sulle terapie appropriate, nonché della scarsità delle risorse umane e materiali concretamente disponibili in relazione al numero dei casi da trattare, oltre che del minor grado di esperienza e conoscenze tecniche possedute dal personale non specializzato impiegato per far fronte all’emergenza.</w:t>
      </w:r>
    </w:p>
    <w:p w:rsidR="006B0EEF" w:rsidRDefault="006B0EEF"/>
    <w:sectPr w:rsidR="006B0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6FF"/>
    <w:multiLevelType w:val="multilevel"/>
    <w:tmpl w:val="C19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EF"/>
    <w:rsid w:val="00266E95"/>
    <w:rsid w:val="002B4943"/>
    <w:rsid w:val="0046673A"/>
    <w:rsid w:val="006B0EEF"/>
    <w:rsid w:val="00A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15A"/>
  <w15:chartTrackingRefBased/>
  <w15:docId w15:val="{3374B605-C912-45A4-B527-8EC740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0E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</cp:lastModifiedBy>
  <cp:revision>2</cp:revision>
  <cp:lastPrinted>2022-01-17T13:14:00Z</cp:lastPrinted>
  <dcterms:created xsi:type="dcterms:W3CDTF">2022-01-17T13:11:00Z</dcterms:created>
  <dcterms:modified xsi:type="dcterms:W3CDTF">2022-01-22T10:50:00Z</dcterms:modified>
</cp:coreProperties>
</file>