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B2" w:rsidRDefault="00F84167" w:rsidP="005C4BB2">
      <w:pPr>
        <w:ind w:right="-575"/>
        <w:rPr>
          <w:rFonts w:ascii="Marker Felt" w:hAnsi="Marker Felt"/>
          <w:sz w:val="36"/>
          <w:szCs w:val="36"/>
        </w:rPr>
      </w:pPr>
      <w:bookmarkStart w:id="0" w:name="_GoBack"/>
      <w:bookmarkEnd w:id="0"/>
      <w:r>
        <w:rPr>
          <w:rFonts w:ascii="Marker Felt" w:hAnsi="Marker Felt"/>
          <w:sz w:val="36"/>
          <w:szCs w:val="36"/>
        </w:rPr>
        <w:t xml:space="preserve">                 </w:t>
      </w:r>
      <w:r w:rsidR="00BC5997">
        <w:rPr>
          <w:rFonts w:ascii="Marker Felt" w:hAnsi="Marker Felt"/>
          <w:sz w:val="36"/>
          <w:szCs w:val="36"/>
        </w:rPr>
        <w:t xml:space="preserve">     </w:t>
      </w:r>
      <w:r w:rsidR="00915B6C">
        <w:rPr>
          <w:rFonts w:ascii="Marker Felt" w:hAnsi="Marker Felt"/>
          <w:sz w:val="36"/>
          <w:szCs w:val="36"/>
        </w:rPr>
        <w:t xml:space="preserve">  </w:t>
      </w:r>
      <w:r w:rsidR="00BC5997">
        <w:rPr>
          <w:rFonts w:ascii="Marker Felt" w:hAnsi="Marker Felt"/>
          <w:sz w:val="36"/>
          <w:szCs w:val="36"/>
        </w:rPr>
        <w:t xml:space="preserve">   </w:t>
      </w:r>
    </w:p>
    <w:p w:rsidR="0066568B" w:rsidRPr="00D54706" w:rsidRDefault="00534876" w:rsidP="004B37C0">
      <w:pPr>
        <w:ind w:right="-575"/>
        <w:jc w:val="center"/>
        <w:rPr>
          <w:rFonts w:ascii="Marker Felt" w:hAnsi="Marker Felt"/>
        </w:rPr>
      </w:pPr>
      <w:r>
        <w:rPr>
          <w:rFonts w:ascii="Marker Felt" w:hAnsi="Marker Felt"/>
          <w:noProof/>
        </w:rPr>
        <w:drawing>
          <wp:inline distT="0" distB="0" distL="0" distR="0">
            <wp:extent cx="6219762" cy="45719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 B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205" cy="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37" w:rsidRDefault="005F1637" w:rsidP="00F84167">
      <w:pPr>
        <w:jc w:val="right"/>
        <w:rPr>
          <w:rFonts w:ascii="Garamond" w:hAnsi="Garamond"/>
          <w:sz w:val="28"/>
          <w:szCs w:val="28"/>
        </w:rPr>
      </w:pPr>
    </w:p>
    <w:p w:rsidR="00D54706" w:rsidRDefault="0032362B" w:rsidP="00D54706">
      <w:pPr>
        <w:spacing w:line="360" w:lineRule="auto"/>
        <w:jc w:val="right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Spett.le</w:t>
      </w:r>
    </w:p>
    <w:p w:rsidR="0032362B" w:rsidRPr="0032362B" w:rsidRDefault="0032362B" w:rsidP="0032362B">
      <w:pPr>
        <w:spacing w:line="360" w:lineRule="auto"/>
        <w:jc w:val="right"/>
        <w:rPr>
          <w:rFonts w:ascii="Garamond" w:hAnsi="Garamond"/>
          <w:b/>
          <w:szCs w:val="28"/>
        </w:rPr>
      </w:pPr>
      <w:r w:rsidRPr="0032362B">
        <w:rPr>
          <w:rFonts w:ascii="Garamond" w:hAnsi="Garamond"/>
          <w:b/>
          <w:szCs w:val="28"/>
        </w:rPr>
        <w:t>Federazione Nazionale Ordine dei Medici Chirurghi e Odontoiatri</w:t>
      </w:r>
    </w:p>
    <w:p w:rsidR="0032362B" w:rsidRDefault="006C3178" w:rsidP="0032362B">
      <w:pPr>
        <w:spacing w:line="360" w:lineRule="auto"/>
        <w:jc w:val="right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Via</w:t>
      </w:r>
      <w:r w:rsidR="0032362B" w:rsidRPr="0032362B">
        <w:rPr>
          <w:rFonts w:ascii="Garamond" w:hAnsi="Garamond"/>
          <w:szCs w:val="28"/>
        </w:rPr>
        <w:t xml:space="preserve"> Ferdinando di Savoia, 1</w:t>
      </w:r>
    </w:p>
    <w:p w:rsidR="0032362B" w:rsidRDefault="0032362B" w:rsidP="0032362B">
      <w:pPr>
        <w:spacing w:line="360" w:lineRule="auto"/>
        <w:jc w:val="right"/>
        <w:rPr>
          <w:rFonts w:ascii="Garamond" w:hAnsi="Garamond"/>
          <w:szCs w:val="28"/>
        </w:rPr>
      </w:pPr>
      <w:r w:rsidRPr="0032362B">
        <w:rPr>
          <w:rFonts w:ascii="Garamond" w:hAnsi="Garamond"/>
          <w:szCs w:val="28"/>
        </w:rPr>
        <w:t xml:space="preserve"> 00196 ROMA </w:t>
      </w:r>
      <w:r>
        <w:rPr>
          <w:rFonts w:ascii="Garamond" w:hAnsi="Garamond"/>
          <w:szCs w:val="28"/>
        </w:rPr>
        <w:t xml:space="preserve"> </w:t>
      </w:r>
    </w:p>
    <w:p w:rsidR="0005125D" w:rsidRDefault="0005125D" w:rsidP="0032362B">
      <w:pPr>
        <w:spacing w:line="360" w:lineRule="auto"/>
        <w:jc w:val="right"/>
        <w:rPr>
          <w:rFonts w:ascii="Garamond" w:hAnsi="Garamond"/>
          <w:szCs w:val="28"/>
        </w:rPr>
      </w:pPr>
    </w:p>
    <w:p w:rsidR="0005125D" w:rsidRPr="001C463C" w:rsidRDefault="0005125D" w:rsidP="0005125D">
      <w:pPr>
        <w:spacing w:line="360" w:lineRule="auto"/>
        <w:jc w:val="right"/>
        <w:rPr>
          <w:rFonts w:ascii="Garamond" w:hAnsi="Garamond"/>
          <w:i/>
          <w:szCs w:val="28"/>
        </w:rPr>
      </w:pPr>
      <w:r w:rsidRPr="001C463C">
        <w:rPr>
          <w:rFonts w:ascii="Garamond" w:hAnsi="Garamond"/>
          <w:i/>
          <w:szCs w:val="28"/>
        </w:rPr>
        <w:t>Via Pec</w:t>
      </w:r>
      <w:r>
        <w:rPr>
          <w:rFonts w:ascii="Garamond" w:hAnsi="Garamond"/>
          <w:i/>
          <w:szCs w:val="28"/>
        </w:rPr>
        <w:t xml:space="preserve">: </w:t>
      </w:r>
      <w:r w:rsidRPr="0032362B">
        <w:rPr>
          <w:rFonts w:ascii="Garamond" w:hAnsi="Garamond"/>
          <w:i/>
          <w:szCs w:val="28"/>
          <w:u w:val="single"/>
        </w:rPr>
        <w:t>segreteria@pec.fnomceo.it</w:t>
      </w:r>
    </w:p>
    <w:p w:rsidR="0005125D" w:rsidRDefault="0005125D" w:rsidP="0032362B">
      <w:pPr>
        <w:spacing w:line="360" w:lineRule="auto"/>
        <w:jc w:val="right"/>
        <w:rPr>
          <w:rFonts w:ascii="Garamond" w:hAnsi="Garamond"/>
          <w:szCs w:val="28"/>
        </w:rPr>
      </w:pPr>
    </w:p>
    <w:p w:rsidR="004B37C0" w:rsidRPr="00081EE7" w:rsidRDefault="004B37C0" w:rsidP="0032362B">
      <w:pPr>
        <w:spacing w:line="360" w:lineRule="auto"/>
        <w:jc w:val="right"/>
        <w:rPr>
          <w:rFonts w:ascii="Garamond" w:hAnsi="Garamond"/>
          <w:i/>
          <w:szCs w:val="28"/>
        </w:rPr>
      </w:pPr>
      <w:r w:rsidRPr="00081EE7">
        <w:rPr>
          <w:rFonts w:ascii="Garamond" w:hAnsi="Garamond"/>
          <w:i/>
          <w:szCs w:val="28"/>
        </w:rPr>
        <w:t>e</w:t>
      </w:r>
    </w:p>
    <w:p w:rsidR="004B37C0" w:rsidRDefault="004B37C0" w:rsidP="0032362B">
      <w:pPr>
        <w:spacing w:line="360" w:lineRule="auto"/>
        <w:jc w:val="right"/>
        <w:rPr>
          <w:rFonts w:ascii="Garamond" w:hAnsi="Garamond"/>
          <w:i/>
          <w:szCs w:val="28"/>
        </w:rPr>
      </w:pPr>
      <w:r w:rsidRPr="008F66EF">
        <w:rPr>
          <w:rFonts w:ascii="Garamond" w:hAnsi="Garamond"/>
          <w:i/>
          <w:szCs w:val="28"/>
        </w:rPr>
        <w:t>p.c.</w:t>
      </w:r>
    </w:p>
    <w:p w:rsidR="004B37C0" w:rsidRDefault="004B37C0" w:rsidP="0032362B">
      <w:pPr>
        <w:spacing w:line="360" w:lineRule="auto"/>
        <w:jc w:val="right"/>
        <w:rPr>
          <w:rFonts w:ascii="Garamond" w:hAnsi="Garamond"/>
          <w:b/>
          <w:szCs w:val="28"/>
        </w:rPr>
      </w:pPr>
      <w:r w:rsidRPr="004B37C0">
        <w:rPr>
          <w:rFonts w:ascii="Garamond" w:hAnsi="Garamond"/>
          <w:b/>
          <w:szCs w:val="28"/>
        </w:rPr>
        <w:t>A tutti</w:t>
      </w:r>
      <w:r w:rsidR="00813189">
        <w:rPr>
          <w:rFonts w:ascii="Garamond" w:hAnsi="Garamond"/>
          <w:b/>
          <w:szCs w:val="28"/>
        </w:rPr>
        <w:t xml:space="preserve"> gli Ordini dei Medici Chirurghi e Odontoiatri territoriali</w:t>
      </w:r>
    </w:p>
    <w:p w:rsidR="0005125D" w:rsidRDefault="0005125D" w:rsidP="0032362B">
      <w:pPr>
        <w:spacing w:line="360" w:lineRule="auto"/>
        <w:jc w:val="right"/>
        <w:rPr>
          <w:rFonts w:ascii="Garamond" w:hAnsi="Garamond"/>
          <w:b/>
          <w:szCs w:val="28"/>
        </w:rPr>
      </w:pPr>
    </w:p>
    <w:p w:rsidR="008F66EF" w:rsidRPr="00081EE7" w:rsidRDefault="00813189" w:rsidP="0032362B">
      <w:pPr>
        <w:spacing w:line="360" w:lineRule="auto"/>
        <w:jc w:val="right"/>
        <w:rPr>
          <w:rFonts w:ascii="Garamond" w:hAnsi="Garamond"/>
          <w:i/>
          <w:szCs w:val="28"/>
        </w:rPr>
      </w:pPr>
      <w:r w:rsidRPr="00081EE7">
        <w:rPr>
          <w:rFonts w:ascii="Garamond" w:hAnsi="Garamond"/>
          <w:i/>
          <w:szCs w:val="28"/>
        </w:rPr>
        <w:t>e</w:t>
      </w:r>
    </w:p>
    <w:p w:rsidR="00813189" w:rsidRDefault="00AD76C8" w:rsidP="0032362B">
      <w:pPr>
        <w:spacing w:line="360" w:lineRule="auto"/>
        <w:jc w:val="right"/>
        <w:rPr>
          <w:rFonts w:ascii="Garamond" w:hAnsi="Garamond"/>
          <w:szCs w:val="28"/>
        </w:rPr>
      </w:pPr>
      <w:proofErr w:type="spellStart"/>
      <w:r>
        <w:rPr>
          <w:rFonts w:ascii="Garamond" w:hAnsi="Garamond"/>
          <w:szCs w:val="28"/>
        </w:rPr>
        <w:t>Dear</w:t>
      </w:r>
      <w:proofErr w:type="spellEnd"/>
    </w:p>
    <w:p w:rsidR="003A3F43" w:rsidRPr="003A3F43" w:rsidRDefault="00AD76C8" w:rsidP="0032362B">
      <w:pPr>
        <w:spacing w:line="360" w:lineRule="auto"/>
        <w:jc w:val="right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Prosecutor</w:t>
      </w:r>
      <w:r w:rsidR="003A3F43" w:rsidRPr="003A3F43">
        <w:rPr>
          <w:rFonts w:ascii="Garamond" w:hAnsi="Garamond"/>
          <w:b/>
          <w:szCs w:val="28"/>
        </w:rPr>
        <w:t xml:space="preserve"> </w:t>
      </w:r>
      <w:r>
        <w:rPr>
          <w:rFonts w:ascii="Garamond" w:hAnsi="Garamond"/>
          <w:b/>
          <w:szCs w:val="28"/>
        </w:rPr>
        <w:t>Mr. Karim Khan</w:t>
      </w:r>
    </w:p>
    <w:p w:rsidR="003A3F43" w:rsidRPr="00AD76C8" w:rsidRDefault="003A3F43" w:rsidP="0032362B">
      <w:pPr>
        <w:spacing w:line="360" w:lineRule="auto"/>
        <w:jc w:val="right"/>
        <w:rPr>
          <w:rFonts w:ascii="Garamond" w:hAnsi="Garamond"/>
          <w:i/>
          <w:szCs w:val="28"/>
        </w:rPr>
      </w:pPr>
      <w:r w:rsidRPr="00AD76C8">
        <w:rPr>
          <w:rFonts w:ascii="Garamond" w:hAnsi="Garamond"/>
          <w:i/>
          <w:szCs w:val="28"/>
        </w:rPr>
        <w:t>c/o</w:t>
      </w:r>
    </w:p>
    <w:p w:rsidR="00813189" w:rsidRPr="003A3F43" w:rsidRDefault="00813189" w:rsidP="0032362B">
      <w:pPr>
        <w:spacing w:line="360" w:lineRule="auto"/>
        <w:jc w:val="right"/>
        <w:rPr>
          <w:rFonts w:ascii="Garamond" w:hAnsi="Garamond"/>
          <w:b/>
          <w:szCs w:val="28"/>
        </w:rPr>
      </w:pPr>
      <w:r w:rsidRPr="003A3F43">
        <w:rPr>
          <w:rFonts w:ascii="Garamond" w:hAnsi="Garamond"/>
          <w:b/>
          <w:szCs w:val="28"/>
        </w:rPr>
        <w:t xml:space="preserve"> </w:t>
      </w:r>
      <w:r w:rsidR="00CD4D71">
        <w:rPr>
          <w:rFonts w:ascii="Garamond" w:hAnsi="Garamond"/>
          <w:b/>
          <w:szCs w:val="28"/>
        </w:rPr>
        <w:t>International Criminal Court</w:t>
      </w:r>
    </w:p>
    <w:p w:rsidR="003A3F43" w:rsidRDefault="00D219F6" w:rsidP="0032362B">
      <w:pPr>
        <w:spacing w:line="360" w:lineRule="auto"/>
        <w:jc w:val="right"/>
        <w:rPr>
          <w:rFonts w:ascii="Garamond" w:hAnsi="Garamond"/>
          <w:szCs w:val="28"/>
        </w:rPr>
      </w:pPr>
      <w:proofErr w:type="spellStart"/>
      <w:r w:rsidRPr="00D219F6">
        <w:rPr>
          <w:rFonts w:ascii="Garamond" w:hAnsi="Garamond"/>
          <w:szCs w:val="28"/>
        </w:rPr>
        <w:t>Oude</w:t>
      </w:r>
      <w:proofErr w:type="spellEnd"/>
      <w:r w:rsidRPr="00D219F6">
        <w:rPr>
          <w:rFonts w:ascii="Garamond" w:hAnsi="Garamond"/>
          <w:szCs w:val="28"/>
        </w:rPr>
        <w:t xml:space="preserve"> </w:t>
      </w:r>
      <w:proofErr w:type="spellStart"/>
      <w:r w:rsidRPr="00D219F6">
        <w:rPr>
          <w:rFonts w:ascii="Garamond" w:hAnsi="Garamond"/>
          <w:szCs w:val="28"/>
        </w:rPr>
        <w:t>Waalsdorperweg</w:t>
      </w:r>
      <w:proofErr w:type="spellEnd"/>
      <w:r w:rsidRPr="00D219F6">
        <w:rPr>
          <w:rFonts w:ascii="Garamond" w:hAnsi="Garamond"/>
          <w:szCs w:val="28"/>
        </w:rPr>
        <w:t xml:space="preserve"> 10, </w:t>
      </w:r>
    </w:p>
    <w:p w:rsidR="00D219F6" w:rsidRDefault="00D219F6" w:rsidP="0032362B">
      <w:pPr>
        <w:spacing w:line="360" w:lineRule="auto"/>
        <w:jc w:val="right"/>
        <w:rPr>
          <w:rFonts w:ascii="Garamond" w:hAnsi="Garamond"/>
          <w:szCs w:val="28"/>
        </w:rPr>
      </w:pPr>
      <w:r w:rsidRPr="00D219F6">
        <w:rPr>
          <w:rFonts w:ascii="Garamond" w:hAnsi="Garamond"/>
          <w:szCs w:val="28"/>
        </w:rPr>
        <w:t xml:space="preserve">2597 AK </w:t>
      </w:r>
      <w:proofErr w:type="spellStart"/>
      <w:r w:rsidRPr="00D219F6">
        <w:rPr>
          <w:rFonts w:ascii="Garamond" w:hAnsi="Garamond"/>
          <w:szCs w:val="28"/>
        </w:rPr>
        <w:t>Den</w:t>
      </w:r>
      <w:proofErr w:type="spellEnd"/>
      <w:r w:rsidRPr="00D219F6">
        <w:rPr>
          <w:rFonts w:ascii="Garamond" w:hAnsi="Garamond"/>
          <w:szCs w:val="28"/>
        </w:rPr>
        <w:t xml:space="preserve"> </w:t>
      </w:r>
      <w:proofErr w:type="spellStart"/>
      <w:r w:rsidRPr="00D219F6">
        <w:rPr>
          <w:rFonts w:ascii="Garamond" w:hAnsi="Garamond"/>
          <w:szCs w:val="28"/>
        </w:rPr>
        <w:t>Haag</w:t>
      </w:r>
      <w:proofErr w:type="spellEnd"/>
      <w:r w:rsidRPr="00D219F6">
        <w:rPr>
          <w:rFonts w:ascii="Garamond" w:hAnsi="Garamond"/>
          <w:szCs w:val="28"/>
        </w:rPr>
        <w:t>, Paesi Bassi</w:t>
      </w:r>
    </w:p>
    <w:p w:rsidR="006C3178" w:rsidRDefault="006C3178" w:rsidP="0032362B">
      <w:pPr>
        <w:spacing w:line="360" w:lineRule="auto"/>
        <w:jc w:val="right"/>
        <w:rPr>
          <w:rFonts w:ascii="Garamond" w:hAnsi="Garamond"/>
          <w:szCs w:val="28"/>
        </w:rPr>
      </w:pPr>
    </w:p>
    <w:p w:rsidR="006C3178" w:rsidRPr="00081EE7" w:rsidRDefault="006C3178" w:rsidP="006C3178">
      <w:pPr>
        <w:spacing w:line="360" w:lineRule="auto"/>
        <w:jc w:val="right"/>
        <w:rPr>
          <w:rFonts w:ascii="Garamond" w:hAnsi="Garamond"/>
          <w:i/>
          <w:szCs w:val="28"/>
        </w:rPr>
      </w:pPr>
      <w:r w:rsidRPr="00081EE7">
        <w:rPr>
          <w:rFonts w:ascii="Garamond" w:hAnsi="Garamond"/>
          <w:i/>
          <w:szCs w:val="28"/>
        </w:rPr>
        <w:t>e</w:t>
      </w:r>
    </w:p>
    <w:p w:rsidR="006C3178" w:rsidRDefault="006C3178" w:rsidP="006C3178">
      <w:pPr>
        <w:spacing w:line="360" w:lineRule="auto"/>
        <w:jc w:val="right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Spett.le</w:t>
      </w:r>
    </w:p>
    <w:p w:rsidR="006C3178" w:rsidRDefault="006C3178" w:rsidP="006C3178">
      <w:pPr>
        <w:spacing w:line="360" w:lineRule="auto"/>
        <w:jc w:val="right"/>
        <w:rPr>
          <w:rFonts w:ascii="Garamond" w:hAnsi="Garamond"/>
          <w:b/>
          <w:szCs w:val="28"/>
        </w:rPr>
      </w:pPr>
      <w:r w:rsidRPr="006C3178">
        <w:rPr>
          <w:rFonts w:ascii="Garamond" w:hAnsi="Garamond"/>
          <w:b/>
          <w:szCs w:val="28"/>
        </w:rPr>
        <w:t xml:space="preserve"> Procura di Milano </w:t>
      </w:r>
    </w:p>
    <w:p w:rsidR="0005125D" w:rsidRPr="0005125D" w:rsidRDefault="0005125D" w:rsidP="006C3178">
      <w:pPr>
        <w:spacing w:line="360" w:lineRule="auto"/>
        <w:jc w:val="right"/>
        <w:rPr>
          <w:rFonts w:ascii="Garamond" w:hAnsi="Garamond"/>
          <w:i/>
          <w:szCs w:val="28"/>
        </w:rPr>
      </w:pPr>
      <w:r w:rsidRPr="0005125D">
        <w:rPr>
          <w:rFonts w:ascii="Garamond" w:hAnsi="Garamond"/>
          <w:i/>
          <w:szCs w:val="28"/>
        </w:rPr>
        <w:t>c/o</w:t>
      </w:r>
    </w:p>
    <w:p w:rsidR="0005125D" w:rsidRDefault="0005125D" w:rsidP="006C3178">
      <w:pPr>
        <w:spacing w:line="360" w:lineRule="auto"/>
        <w:jc w:val="right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Tribunale di Milano</w:t>
      </w:r>
    </w:p>
    <w:p w:rsidR="00D237B0" w:rsidRPr="00D237B0" w:rsidRDefault="00D237B0" w:rsidP="006C3178">
      <w:pPr>
        <w:spacing w:line="360" w:lineRule="auto"/>
        <w:jc w:val="right"/>
        <w:rPr>
          <w:rFonts w:ascii="Garamond" w:hAnsi="Garamond"/>
          <w:szCs w:val="28"/>
        </w:rPr>
      </w:pPr>
      <w:r w:rsidRPr="00D237B0">
        <w:rPr>
          <w:rFonts w:ascii="Garamond" w:hAnsi="Garamond"/>
          <w:szCs w:val="28"/>
        </w:rPr>
        <w:t xml:space="preserve">Via Carlo </w:t>
      </w:r>
      <w:proofErr w:type="spellStart"/>
      <w:r w:rsidRPr="00D237B0">
        <w:rPr>
          <w:rFonts w:ascii="Garamond" w:hAnsi="Garamond"/>
          <w:szCs w:val="28"/>
        </w:rPr>
        <w:t>Freguglia</w:t>
      </w:r>
      <w:proofErr w:type="spellEnd"/>
      <w:r w:rsidRPr="00D237B0">
        <w:rPr>
          <w:rFonts w:ascii="Garamond" w:hAnsi="Garamond"/>
          <w:szCs w:val="28"/>
        </w:rPr>
        <w:t>, 1</w:t>
      </w:r>
    </w:p>
    <w:p w:rsidR="00D237B0" w:rsidRPr="00D237B0" w:rsidRDefault="00D237B0" w:rsidP="006C3178">
      <w:pPr>
        <w:spacing w:line="360" w:lineRule="auto"/>
        <w:jc w:val="right"/>
        <w:rPr>
          <w:rFonts w:ascii="Garamond" w:hAnsi="Garamond"/>
          <w:szCs w:val="28"/>
        </w:rPr>
      </w:pPr>
      <w:r w:rsidRPr="00D237B0">
        <w:rPr>
          <w:rFonts w:ascii="Garamond" w:hAnsi="Garamond"/>
          <w:szCs w:val="28"/>
        </w:rPr>
        <w:t>20122 Milano</w:t>
      </w:r>
    </w:p>
    <w:p w:rsidR="0005125D" w:rsidRPr="0005125D" w:rsidRDefault="0005125D" w:rsidP="006C3178">
      <w:pPr>
        <w:spacing w:line="360" w:lineRule="auto"/>
        <w:jc w:val="right"/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t xml:space="preserve">Via </w:t>
      </w:r>
      <w:proofErr w:type="spellStart"/>
      <w:r>
        <w:rPr>
          <w:rFonts w:ascii="Garamond" w:hAnsi="Garamond"/>
          <w:i/>
          <w:szCs w:val="28"/>
        </w:rPr>
        <w:t>PeC</w:t>
      </w:r>
      <w:proofErr w:type="spellEnd"/>
      <w:r>
        <w:rPr>
          <w:rFonts w:ascii="Garamond" w:hAnsi="Garamond"/>
          <w:i/>
          <w:szCs w:val="28"/>
        </w:rPr>
        <w:t xml:space="preserve">: </w:t>
      </w:r>
      <w:r w:rsidRPr="0005125D">
        <w:rPr>
          <w:rFonts w:ascii="Garamond" w:hAnsi="Garamond"/>
          <w:i/>
          <w:szCs w:val="28"/>
        </w:rPr>
        <w:t>procuratore.procura.milano@giustiziacert.it</w:t>
      </w:r>
    </w:p>
    <w:p w:rsidR="0005125D" w:rsidRPr="00081EE7" w:rsidRDefault="0005125D" w:rsidP="0005125D">
      <w:pPr>
        <w:spacing w:line="360" w:lineRule="auto"/>
        <w:jc w:val="right"/>
        <w:rPr>
          <w:rFonts w:ascii="Garamond" w:hAnsi="Garamond"/>
          <w:i/>
          <w:szCs w:val="28"/>
        </w:rPr>
      </w:pPr>
      <w:r w:rsidRPr="00081EE7">
        <w:rPr>
          <w:rFonts w:ascii="Garamond" w:hAnsi="Garamond"/>
          <w:i/>
          <w:szCs w:val="28"/>
        </w:rPr>
        <w:t>e</w:t>
      </w:r>
    </w:p>
    <w:p w:rsidR="0005125D" w:rsidRDefault="0005125D" w:rsidP="0005125D">
      <w:pPr>
        <w:spacing w:line="360" w:lineRule="auto"/>
        <w:jc w:val="right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Spett.le</w:t>
      </w:r>
    </w:p>
    <w:p w:rsidR="0005125D" w:rsidRDefault="0005125D" w:rsidP="0005125D">
      <w:pPr>
        <w:spacing w:line="360" w:lineRule="auto"/>
        <w:jc w:val="right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 Procura di Roma</w:t>
      </w:r>
    </w:p>
    <w:p w:rsidR="0005125D" w:rsidRPr="0005125D" w:rsidRDefault="0005125D" w:rsidP="0005125D">
      <w:pPr>
        <w:spacing w:line="360" w:lineRule="auto"/>
        <w:jc w:val="right"/>
        <w:rPr>
          <w:rFonts w:ascii="Garamond" w:hAnsi="Garamond"/>
          <w:i/>
          <w:szCs w:val="28"/>
        </w:rPr>
      </w:pPr>
      <w:r w:rsidRPr="0005125D">
        <w:rPr>
          <w:rFonts w:ascii="Garamond" w:hAnsi="Garamond"/>
          <w:i/>
          <w:szCs w:val="28"/>
        </w:rPr>
        <w:t>c/o</w:t>
      </w:r>
    </w:p>
    <w:p w:rsidR="0005125D" w:rsidRDefault="0005125D" w:rsidP="0005125D">
      <w:pPr>
        <w:spacing w:line="360" w:lineRule="auto"/>
        <w:jc w:val="right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Tribunale di Roma</w:t>
      </w:r>
    </w:p>
    <w:p w:rsidR="007C3A29" w:rsidRPr="007C3A29" w:rsidRDefault="007C3A29" w:rsidP="007C3A29">
      <w:pPr>
        <w:spacing w:line="360" w:lineRule="auto"/>
        <w:jc w:val="right"/>
        <w:rPr>
          <w:rFonts w:ascii="Garamond" w:hAnsi="Garamond"/>
          <w:szCs w:val="28"/>
        </w:rPr>
      </w:pPr>
      <w:r w:rsidRPr="007C3A29">
        <w:rPr>
          <w:rFonts w:ascii="Garamond" w:hAnsi="Garamond"/>
          <w:szCs w:val="28"/>
        </w:rPr>
        <w:t xml:space="preserve">Viale Giulio Cesare, 54/b </w:t>
      </w:r>
    </w:p>
    <w:p w:rsidR="007C3A29" w:rsidRPr="007C3A29" w:rsidRDefault="007C3A29" w:rsidP="007C3A29">
      <w:pPr>
        <w:spacing w:line="360" w:lineRule="auto"/>
        <w:jc w:val="right"/>
        <w:rPr>
          <w:rFonts w:ascii="Garamond" w:hAnsi="Garamond"/>
          <w:szCs w:val="28"/>
        </w:rPr>
      </w:pPr>
      <w:r w:rsidRPr="007C3A29">
        <w:rPr>
          <w:rFonts w:ascii="Garamond" w:hAnsi="Garamond"/>
          <w:szCs w:val="28"/>
        </w:rPr>
        <w:t>00192 Roma (RM)</w:t>
      </w:r>
    </w:p>
    <w:p w:rsidR="0005125D" w:rsidRPr="0005125D" w:rsidRDefault="0005125D" w:rsidP="0005125D">
      <w:pPr>
        <w:spacing w:line="360" w:lineRule="auto"/>
        <w:jc w:val="right"/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t xml:space="preserve">Via </w:t>
      </w:r>
      <w:proofErr w:type="spellStart"/>
      <w:r>
        <w:rPr>
          <w:rFonts w:ascii="Garamond" w:hAnsi="Garamond"/>
          <w:i/>
          <w:szCs w:val="28"/>
        </w:rPr>
        <w:t>PeC</w:t>
      </w:r>
      <w:proofErr w:type="spellEnd"/>
      <w:r>
        <w:rPr>
          <w:rFonts w:ascii="Garamond" w:hAnsi="Garamond"/>
          <w:i/>
          <w:szCs w:val="28"/>
        </w:rPr>
        <w:t xml:space="preserve">: </w:t>
      </w:r>
      <w:r w:rsidRPr="0005125D">
        <w:rPr>
          <w:rFonts w:ascii="Garamond" w:hAnsi="Garamond"/>
          <w:i/>
          <w:szCs w:val="28"/>
        </w:rPr>
        <w:t>depositoattipenali1.procura.roma@giustiziacert.it</w:t>
      </w:r>
    </w:p>
    <w:p w:rsidR="0005125D" w:rsidRPr="008F66EF" w:rsidRDefault="0005125D" w:rsidP="0032362B">
      <w:pPr>
        <w:spacing w:line="360" w:lineRule="auto"/>
        <w:jc w:val="right"/>
        <w:rPr>
          <w:rFonts w:ascii="Garamond" w:hAnsi="Garamond"/>
          <w:szCs w:val="28"/>
        </w:rPr>
      </w:pPr>
    </w:p>
    <w:p w:rsidR="0032362B" w:rsidRDefault="0032362B" w:rsidP="0032362B">
      <w:pPr>
        <w:spacing w:line="360" w:lineRule="auto"/>
        <w:jc w:val="right"/>
        <w:rPr>
          <w:rFonts w:ascii="Garamond" w:hAnsi="Garamond"/>
          <w:szCs w:val="28"/>
        </w:rPr>
      </w:pPr>
    </w:p>
    <w:p w:rsidR="00D54706" w:rsidRDefault="00D54706" w:rsidP="00D54706">
      <w:pPr>
        <w:spacing w:line="360" w:lineRule="auto"/>
        <w:jc w:val="right"/>
        <w:rPr>
          <w:rFonts w:ascii="Garamond" w:hAnsi="Garamond"/>
          <w:szCs w:val="28"/>
        </w:rPr>
      </w:pPr>
    </w:p>
    <w:p w:rsidR="00D54706" w:rsidRPr="001C463C" w:rsidRDefault="00D54706" w:rsidP="00E11852">
      <w:pPr>
        <w:spacing w:line="360" w:lineRule="auto"/>
        <w:ind w:left="454" w:right="170"/>
        <w:jc w:val="right"/>
        <w:rPr>
          <w:rFonts w:ascii="Garamond" w:hAnsi="Garamond"/>
          <w:b/>
          <w:szCs w:val="28"/>
          <w:u w:val="single"/>
        </w:rPr>
      </w:pPr>
    </w:p>
    <w:p w:rsidR="00D54706" w:rsidRDefault="00D54706" w:rsidP="00E11852">
      <w:pPr>
        <w:spacing w:line="360" w:lineRule="auto"/>
        <w:ind w:left="454" w:right="170"/>
        <w:jc w:val="both"/>
        <w:rPr>
          <w:rFonts w:ascii="Garamond" w:eastAsia="Times New Roman" w:hAnsi="Garamond"/>
          <w:b/>
          <w:color w:val="333333"/>
          <w:u w:val="single"/>
        </w:rPr>
      </w:pPr>
      <w:r w:rsidRPr="00DE3DF2">
        <w:rPr>
          <w:rFonts w:ascii="Garamond" w:hAnsi="Garamond"/>
          <w:b/>
          <w:szCs w:val="28"/>
          <w:u w:val="single"/>
        </w:rPr>
        <w:t xml:space="preserve">Oggetto: </w:t>
      </w:r>
      <w:r w:rsidR="004B37C0" w:rsidRPr="00DE3DF2">
        <w:rPr>
          <w:rFonts w:ascii="Garamond" w:hAnsi="Garamond"/>
          <w:b/>
          <w:szCs w:val="28"/>
          <w:u w:val="single"/>
        </w:rPr>
        <w:t xml:space="preserve">Somministrazione, da parte di alcuni dei Vs. Iscritti, del siero genico sperimentale </w:t>
      </w:r>
      <w:r w:rsidR="004B37C0" w:rsidRPr="00DE3DF2">
        <w:rPr>
          <w:rFonts w:ascii="Garamond" w:hAnsi="Garamond"/>
          <w:b/>
          <w:i/>
          <w:szCs w:val="28"/>
          <w:u w:val="single"/>
        </w:rPr>
        <w:t>c.d.</w:t>
      </w:r>
      <w:r w:rsidR="004B37C0" w:rsidRPr="00DE3DF2">
        <w:rPr>
          <w:rFonts w:ascii="Garamond" w:hAnsi="Garamond"/>
          <w:b/>
          <w:szCs w:val="28"/>
          <w:u w:val="single"/>
        </w:rPr>
        <w:t xml:space="preserve"> “</w:t>
      </w:r>
      <w:r w:rsidR="004B37C0" w:rsidRPr="00DE3DF2">
        <w:rPr>
          <w:rFonts w:ascii="Garamond" w:hAnsi="Garamond"/>
          <w:b/>
          <w:i/>
          <w:szCs w:val="28"/>
          <w:u w:val="single"/>
        </w:rPr>
        <w:t>vaccino</w:t>
      </w:r>
      <w:r w:rsidR="00DE3DF2">
        <w:rPr>
          <w:rFonts w:ascii="Garamond" w:hAnsi="Garamond"/>
          <w:b/>
          <w:szCs w:val="28"/>
          <w:u w:val="single"/>
        </w:rPr>
        <w:t xml:space="preserve">” </w:t>
      </w:r>
      <w:r w:rsidR="00DE3DF2" w:rsidRPr="00DE3DF2">
        <w:rPr>
          <w:rFonts w:ascii="Garamond" w:hAnsi="Garamond"/>
          <w:b/>
          <w:szCs w:val="28"/>
          <w:u w:val="single"/>
        </w:rPr>
        <w:t xml:space="preserve">anti </w:t>
      </w:r>
      <w:r w:rsidR="00DE3DF2" w:rsidRPr="008C67B1">
        <w:rPr>
          <w:rFonts w:ascii="Garamond" w:eastAsia="Times New Roman" w:hAnsi="Garamond"/>
          <w:b/>
          <w:color w:val="333333"/>
          <w:u w:val="single"/>
        </w:rPr>
        <w:t>SARS-CoV-2,</w:t>
      </w:r>
      <w:r w:rsidR="00DE3DF2">
        <w:rPr>
          <w:rFonts w:ascii="Garamond" w:eastAsia="Times New Roman" w:hAnsi="Garamond"/>
          <w:b/>
          <w:color w:val="333333"/>
          <w:u w:val="single"/>
        </w:rPr>
        <w:t xml:space="preserve"> </w:t>
      </w:r>
      <w:r w:rsidR="00E72EF8">
        <w:rPr>
          <w:rFonts w:ascii="Garamond" w:eastAsia="Times New Roman" w:hAnsi="Garamond"/>
          <w:b/>
          <w:color w:val="333333"/>
          <w:u w:val="single"/>
        </w:rPr>
        <w:t>assenza di consenso libero ed informato -</w:t>
      </w:r>
      <w:r w:rsidR="00702DA3">
        <w:rPr>
          <w:rFonts w:ascii="Garamond" w:eastAsia="Times New Roman" w:hAnsi="Garamond"/>
          <w:b/>
          <w:color w:val="333333"/>
          <w:u w:val="single"/>
        </w:rPr>
        <w:t xml:space="preserve"> Codice di Norimberga del 1947/Dichiarazione di Helsinki - </w:t>
      </w:r>
      <w:r w:rsidR="00E72EF8" w:rsidRPr="002B2D38">
        <w:rPr>
          <w:rFonts w:ascii="Garamond" w:hAnsi="Garamond"/>
          <w:b/>
          <w:szCs w:val="28"/>
          <w:u w:val="single"/>
        </w:rPr>
        <w:t>Convenzione sui diritti</w:t>
      </w:r>
      <w:r w:rsidR="00702DA3">
        <w:rPr>
          <w:rFonts w:ascii="Garamond" w:hAnsi="Garamond"/>
          <w:b/>
          <w:szCs w:val="28"/>
          <w:u w:val="single"/>
        </w:rPr>
        <w:t xml:space="preserve"> dell’uomo e sulla biomedicina di Oviedo del </w:t>
      </w:r>
      <w:r w:rsidR="00E72EF8" w:rsidRPr="002B2D38">
        <w:rPr>
          <w:rFonts w:ascii="Garamond" w:hAnsi="Garamond"/>
          <w:b/>
          <w:szCs w:val="28"/>
          <w:u w:val="single"/>
        </w:rPr>
        <w:t>4 aprile 1997</w:t>
      </w:r>
      <w:r w:rsidR="00702DA3">
        <w:rPr>
          <w:rFonts w:ascii="Garamond" w:hAnsi="Garamond"/>
          <w:b/>
          <w:szCs w:val="28"/>
          <w:u w:val="single"/>
        </w:rPr>
        <w:t xml:space="preserve"> - C</w:t>
      </w:r>
      <w:r w:rsidR="00702DA3" w:rsidRPr="002B2D38">
        <w:rPr>
          <w:rFonts w:ascii="Garamond" w:hAnsi="Garamond"/>
          <w:b/>
          <w:szCs w:val="28"/>
          <w:u w:val="single"/>
        </w:rPr>
        <w:t>arta dei diritti fondamentali dell’Unione europea proclamata a Nizza il 7 dicembre 2000</w:t>
      </w:r>
      <w:r w:rsidR="00702DA3">
        <w:rPr>
          <w:rFonts w:ascii="Garamond" w:hAnsi="Garamond"/>
          <w:b/>
          <w:szCs w:val="28"/>
          <w:u w:val="single"/>
        </w:rPr>
        <w:t xml:space="preserve"> </w:t>
      </w:r>
      <w:r w:rsidR="00952BEC">
        <w:rPr>
          <w:rFonts w:ascii="Garamond" w:eastAsia="Times New Roman" w:hAnsi="Garamond"/>
          <w:b/>
          <w:color w:val="333333"/>
          <w:u w:val="single"/>
        </w:rPr>
        <w:t>– Intimazione ad interrompere senza indugio l’inoculazione del siero</w:t>
      </w:r>
    </w:p>
    <w:p w:rsidR="00512243" w:rsidRDefault="00512243" w:rsidP="00DE3DF2">
      <w:pPr>
        <w:spacing w:line="360" w:lineRule="auto"/>
        <w:jc w:val="both"/>
        <w:rPr>
          <w:rFonts w:ascii="Garamond" w:eastAsia="Times New Roman" w:hAnsi="Garamond"/>
          <w:b/>
          <w:color w:val="333333"/>
          <w:u w:val="single"/>
        </w:rPr>
      </w:pPr>
    </w:p>
    <w:p w:rsidR="000E0864" w:rsidRDefault="0059543E" w:rsidP="00BC71C4">
      <w:pPr>
        <w:spacing w:line="360" w:lineRule="auto"/>
        <w:ind w:left="454" w:firstLine="454"/>
        <w:jc w:val="both"/>
        <w:rPr>
          <w:rFonts w:ascii="Garamond" w:eastAsia="Times New Roman" w:hAnsi="Garamond"/>
          <w:color w:val="333333"/>
        </w:rPr>
      </w:pPr>
      <w:r w:rsidRPr="0059543E">
        <w:rPr>
          <w:rFonts w:ascii="Garamond" w:eastAsia="Times New Roman" w:hAnsi="Garamond"/>
          <w:color w:val="333333"/>
        </w:rPr>
        <w:t xml:space="preserve">Spett.le </w:t>
      </w:r>
      <w:proofErr w:type="spellStart"/>
      <w:r w:rsidRPr="0059543E">
        <w:rPr>
          <w:rFonts w:ascii="Garamond" w:eastAsia="Times New Roman" w:hAnsi="Garamond"/>
          <w:color w:val="333333"/>
        </w:rPr>
        <w:t>FNOMCeO</w:t>
      </w:r>
      <w:proofErr w:type="spellEnd"/>
      <w:r w:rsidRPr="0059543E">
        <w:rPr>
          <w:rFonts w:ascii="Garamond" w:eastAsia="Times New Roman" w:hAnsi="Garamond"/>
          <w:color w:val="333333"/>
        </w:rPr>
        <w:t>,</w:t>
      </w:r>
      <w:r w:rsidR="00D83BBA">
        <w:rPr>
          <w:rFonts w:ascii="Garamond" w:eastAsia="Times New Roman" w:hAnsi="Garamond"/>
          <w:color w:val="333333"/>
        </w:rPr>
        <w:t xml:space="preserve"> Spett.le Ordine dei Medici Chirurghi e Odontoiatri,</w:t>
      </w:r>
    </w:p>
    <w:p w:rsidR="00777B1E" w:rsidRDefault="00777B1E" w:rsidP="00BC71C4">
      <w:pPr>
        <w:spacing w:line="360" w:lineRule="auto"/>
        <w:ind w:left="454"/>
        <w:jc w:val="both"/>
        <w:rPr>
          <w:rFonts w:ascii="Garamond" w:eastAsia="Times New Roman" w:hAnsi="Garamond"/>
          <w:color w:val="333333"/>
        </w:rPr>
      </w:pPr>
    </w:p>
    <w:p w:rsidR="00777B1E" w:rsidRDefault="00A95102" w:rsidP="00BC71C4">
      <w:pPr>
        <w:spacing w:line="360" w:lineRule="auto"/>
        <w:ind w:left="454"/>
        <w:jc w:val="both"/>
        <w:rPr>
          <w:rFonts w:ascii="Garamond" w:eastAsia="Times New Roman" w:hAnsi="Garamond"/>
          <w:color w:val="333333"/>
        </w:rPr>
      </w:pPr>
      <w:r>
        <w:rPr>
          <w:rFonts w:ascii="Garamond" w:eastAsia="Times New Roman" w:hAnsi="Garamond"/>
          <w:color w:val="333333"/>
        </w:rPr>
        <w:tab/>
        <w:t>Premesso che:</w:t>
      </w:r>
    </w:p>
    <w:p w:rsidR="00D54706" w:rsidRDefault="00D54706" w:rsidP="00BC71C4">
      <w:pPr>
        <w:spacing w:line="360" w:lineRule="auto"/>
        <w:jc w:val="both"/>
        <w:rPr>
          <w:rFonts w:ascii="Garamond" w:hAnsi="Garamond"/>
          <w:szCs w:val="28"/>
        </w:rPr>
      </w:pPr>
    </w:p>
    <w:p w:rsidR="0059543E" w:rsidRPr="00777B1E" w:rsidRDefault="006635C5" w:rsidP="00436AA6">
      <w:pPr>
        <w:pStyle w:val="Paragrafoelenco"/>
        <w:numPr>
          <w:ilvl w:val="0"/>
          <w:numId w:val="1"/>
        </w:numPr>
        <w:spacing w:line="360" w:lineRule="auto"/>
        <w:ind w:left="456"/>
        <w:jc w:val="both"/>
        <w:rPr>
          <w:rFonts w:ascii="Garamond" w:hAnsi="Garamond"/>
          <w:szCs w:val="28"/>
        </w:rPr>
      </w:pPr>
      <w:r w:rsidRPr="00777B1E">
        <w:rPr>
          <w:rFonts w:ascii="Garamond" w:hAnsi="Garamond"/>
          <w:szCs w:val="28"/>
        </w:rPr>
        <w:t xml:space="preserve">Con </w:t>
      </w:r>
      <w:r w:rsidR="005F4544">
        <w:rPr>
          <w:rFonts w:ascii="Garamond" w:hAnsi="Garamond"/>
          <w:szCs w:val="28"/>
        </w:rPr>
        <w:t>l’art. 4 del D.L. n. 44 del 01.04.</w:t>
      </w:r>
      <w:r w:rsidRPr="00777B1E">
        <w:rPr>
          <w:rFonts w:ascii="Garamond" w:hAnsi="Garamond"/>
          <w:szCs w:val="28"/>
        </w:rPr>
        <w:t>2021</w:t>
      </w:r>
      <w:r w:rsidR="00FD1704" w:rsidRPr="00777B1E">
        <w:rPr>
          <w:rFonts w:ascii="Garamond" w:hAnsi="Garamond"/>
          <w:szCs w:val="28"/>
        </w:rPr>
        <w:t xml:space="preserve">, convertito </w:t>
      </w:r>
      <w:r w:rsidR="005F4544">
        <w:rPr>
          <w:rFonts w:ascii="Garamond" w:hAnsi="Garamond"/>
          <w:szCs w:val="28"/>
        </w:rPr>
        <w:t>con Legge 76/2021 del 28.05.2021</w:t>
      </w:r>
      <w:r w:rsidR="00FD1704" w:rsidRPr="00777B1E">
        <w:rPr>
          <w:rFonts w:ascii="Garamond" w:hAnsi="Garamond"/>
          <w:szCs w:val="28"/>
        </w:rPr>
        <w:t>,</w:t>
      </w:r>
      <w:r w:rsidRPr="00777B1E">
        <w:rPr>
          <w:rFonts w:ascii="Garamond" w:hAnsi="Garamond"/>
          <w:szCs w:val="28"/>
        </w:rPr>
        <w:t xml:space="preserve"> il Governo italiano ha imposto agli esercenti le professioni sanitarie l</w:t>
      </w:r>
      <w:r w:rsidR="00B26FB9" w:rsidRPr="00777B1E">
        <w:rPr>
          <w:rFonts w:ascii="Garamond" w:hAnsi="Garamond"/>
          <w:szCs w:val="28"/>
        </w:rPr>
        <w:t>a somministrazione</w:t>
      </w:r>
      <w:r w:rsidRPr="00777B1E">
        <w:rPr>
          <w:rFonts w:ascii="Garamond" w:hAnsi="Garamond"/>
          <w:szCs w:val="28"/>
        </w:rPr>
        <w:t xml:space="preserve"> del siero genico sperimentale c</w:t>
      </w:r>
      <w:r w:rsidR="00B26FB9" w:rsidRPr="00777B1E">
        <w:rPr>
          <w:rFonts w:ascii="Garamond" w:hAnsi="Garamond"/>
          <w:szCs w:val="28"/>
        </w:rPr>
        <w:t>.</w:t>
      </w:r>
      <w:r w:rsidRPr="00777B1E">
        <w:rPr>
          <w:rFonts w:ascii="Garamond" w:hAnsi="Garamond"/>
          <w:szCs w:val="28"/>
        </w:rPr>
        <w:t>d. “</w:t>
      </w:r>
      <w:r w:rsidRPr="00777B1E">
        <w:rPr>
          <w:rFonts w:ascii="Garamond" w:hAnsi="Garamond"/>
          <w:i/>
          <w:szCs w:val="28"/>
        </w:rPr>
        <w:t>vaccino</w:t>
      </w:r>
      <w:r w:rsidRPr="00777B1E">
        <w:rPr>
          <w:rFonts w:ascii="Garamond" w:hAnsi="Garamond"/>
          <w:szCs w:val="28"/>
        </w:rPr>
        <w:t>” anti SARS-CoV-2,</w:t>
      </w:r>
      <w:r w:rsidR="00E8467F" w:rsidRPr="00777B1E">
        <w:rPr>
          <w:rFonts w:ascii="Garamond" w:hAnsi="Garamond"/>
          <w:szCs w:val="28"/>
        </w:rPr>
        <w:t xml:space="preserve"> </w:t>
      </w:r>
      <w:r w:rsidR="00E8467F" w:rsidRPr="00777B1E">
        <w:rPr>
          <w:rFonts w:ascii="Garamond" w:hAnsi="Garamond"/>
          <w:b/>
          <w:szCs w:val="28"/>
          <w:u w:val="single"/>
        </w:rPr>
        <w:t>prevedendo che il mancato adempimento dello stesso comport</w:t>
      </w:r>
      <w:r w:rsidR="001714A6" w:rsidRPr="00777B1E">
        <w:rPr>
          <w:rFonts w:ascii="Garamond" w:hAnsi="Garamond"/>
          <w:b/>
          <w:szCs w:val="28"/>
          <w:u w:val="single"/>
        </w:rPr>
        <w:t>i la sospensione del rapporto di lavoro e di ogni emolumento ad esso collegato</w:t>
      </w:r>
      <w:r w:rsidR="00E170C5" w:rsidRPr="00777B1E">
        <w:rPr>
          <w:rFonts w:ascii="Garamond" w:hAnsi="Garamond"/>
          <w:szCs w:val="28"/>
        </w:rPr>
        <w:t>, e dunque, di fatto, l’obbligatorietà della “</w:t>
      </w:r>
      <w:r w:rsidR="00E170C5" w:rsidRPr="00777B1E">
        <w:rPr>
          <w:rFonts w:ascii="Garamond" w:hAnsi="Garamond"/>
          <w:i/>
          <w:szCs w:val="28"/>
        </w:rPr>
        <w:t>vaccinazione</w:t>
      </w:r>
      <w:r w:rsidR="00777B1E">
        <w:rPr>
          <w:rFonts w:ascii="Garamond" w:hAnsi="Garamond"/>
          <w:szCs w:val="28"/>
        </w:rPr>
        <w:t>”;</w:t>
      </w:r>
    </w:p>
    <w:p w:rsidR="00E970BA" w:rsidRDefault="00B26FB9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b/>
          <w:szCs w:val="28"/>
        </w:rPr>
      </w:pPr>
      <w:r w:rsidRPr="00777B1E">
        <w:rPr>
          <w:rFonts w:ascii="Garamond" w:hAnsi="Garamond"/>
          <w:szCs w:val="28"/>
        </w:rPr>
        <w:t>Il</w:t>
      </w:r>
      <w:r w:rsidR="00407DC0" w:rsidRPr="00777B1E">
        <w:rPr>
          <w:rFonts w:ascii="Garamond" w:hAnsi="Garamond"/>
          <w:szCs w:val="28"/>
        </w:rPr>
        <w:t xml:space="preserve"> Decreto Legge </w:t>
      </w:r>
      <w:r w:rsidR="00022856">
        <w:rPr>
          <w:rFonts w:ascii="Garamond" w:hAnsi="Garamond"/>
          <w:szCs w:val="28"/>
        </w:rPr>
        <w:t>n. 172</w:t>
      </w:r>
      <w:r w:rsidR="005F4544">
        <w:rPr>
          <w:rFonts w:ascii="Garamond" w:hAnsi="Garamond"/>
          <w:szCs w:val="28"/>
        </w:rPr>
        <w:t xml:space="preserve"> del 26.11.2021, </w:t>
      </w:r>
      <w:r w:rsidR="00407DC0" w:rsidRPr="00777B1E">
        <w:rPr>
          <w:rFonts w:ascii="Garamond" w:hAnsi="Garamond"/>
          <w:szCs w:val="28"/>
        </w:rPr>
        <w:t>ha esteso il summenzionato obbligo</w:t>
      </w:r>
      <w:r w:rsidRPr="00777B1E">
        <w:rPr>
          <w:rFonts w:ascii="Garamond" w:hAnsi="Garamond"/>
          <w:szCs w:val="28"/>
        </w:rPr>
        <w:t xml:space="preserve"> per il perso</w:t>
      </w:r>
      <w:r w:rsidR="00407DC0" w:rsidRPr="00777B1E">
        <w:rPr>
          <w:rFonts w:ascii="Garamond" w:hAnsi="Garamond"/>
          <w:szCs w:val="28"/>
        </w:rPr>
        <w:t xml:space="preserve">nale </w:t>
      </w:r>
      <w:r w:rsidR="005F4544" w:rsidRPr="00150877">
        <w:rPr>
          <w:rFonts w:ascii="Garamond" w:hAnsi="Garamond"/>
          <w:szCs w:val="28"/>
        </w:rPr>
        <w:t xml:space="preserve">della scuola, del comparto difesa, </w:t>
      </w:r>
      <w:r w:rsidR="00042ED1" w:rsidRPr="00150877">
        <w:rPr>
          <w:rFonts w:ascii="Garamond" w:hAnsi="Garamond"/>
          <w:szCs w:val="28"/>
        </w:rPr>
        <w:t>sicurezza, soccorso pubblico e polizia locale</w:t>
      </w:r>
      <w:r w:rsidR="00407DC0" w:rsidRPr="00150877">
        <w:rPr>
          <w:rFonts w:ascii="Garamond" w:hAnsi="Garamond"/>
          <w:szCs w:val="28"/>
        </w:rPr>
        <w:t xml:space="preserve"> </w:t>
      </w:r>
      <w:r w:rsidR="00407DC0" w:rsidRPr="00777B1E">
        <w:rPr>
          <w:rFonts w:ascii="Garamond" w:hAnsi="Garamond"/>
          <w:szCs w:val="28"/>
        </w:rPr>
        <w:t xml:space="preserve">dal 15 </w:t>
      </w:r>
      <w:proofErr w:type="gramStart"/>
      <w:r w:rsidR="00407DC0" w:rsidRPr="00777B1E">
        <w:rPr>
          <w:rFonts w:ascii="Garamond" w:hAnsi="Garamond"/>
          <w:szCs w:val="28"/>
        </w:rPr>
        <w:t>Dicemb</w:t>
      </w:r>
      <w:r w:rsidR="00407DC0" w:rsidRPr="00777B1E">
        <w:rPr>
          <w:rFonts w:ascii="Garamond" w:hAnsi="Garamond"/>
          <w:szCs w:val="28"/>
          <w:u w:val="single"/>
        </w:rPr>
        <w:t>r</w:t>
      </w:r>
      <w:r w:rsidR="00FA3DD1">
        <w:rPr>
          <w:rFonts w:ascii="Garamond" w:hAnsi="Garamond"/>
          <w:szCs w:val="28"/>
          <w:u w:val="single"/>
        </w:rPr>
        <w:t>e</w:t>
      </w:r>
      <w:proofErr w:type="gramEnd"/>
      <w:r w:rsidR="00FA3DD1">
        <w:rPr>
          <w:rFonts w:ascii="Garamond" w:hAnsi="Garamond"/>
          <w:szCs w:val="28"/>
          <w:u w:val="single"/>
        </w:rPr>
        <w:t xml:space="preserve"> c.a., disponendo, anche per le categorie</w:t>
      </w:r>
      <w:r w:rsidR="00407DC0" w:rsidRPr="00777B1E">
        <w:rPr>
          <w:rFonts w:ascii="Garamond" w:hAnsi="Garamond"/>
          <w:szCs w:val="28"/>
          <w:u w:val="single"/>
        </w:rPr>
        <w:t xml:space="preserve"> in esame, la</w:t>
      </w:r>
      <w:r w:rsidR="00977BB3" w:rsidRPr="00777B1E">
        <w:rPr>
          <w:rFonts w:ascii="Garamond" w:hAnsi="Garamond"/>
          <w:szCs w:val="28"/>
          <w:u w:val="single"/>
        </w:rPr>
        <w:t xml:space="preserve"> sospensione non retribuita del rapporto di lavoro, </w:t>
      </w:r>
      <w:r w:rsidR="00977BB3" w:rsidRPr="00777B1E">
        <w:rPr>
          <w:rFonts w:ascii="Garamond" w:hAnsi="Garamond"/>
          <w:b/>
          <w:szCs w:val="28"/>
          <w:u w:val="single"/>
        </w:rPr>
        <w:t>con tutte le intuitive ricadute sul piano economico, professionale, e psicologico</w:t>
      </w:r>
      <w:r w:rsidR="00777B1E">
        <w:rPr>
          <w:rFonts w:ascii="Garamond" w:hAnsi="Garamond"/>
          <w:b/>
          <w:szCs w:val="28"/>
        </w:rPr>
        <w:t>;</w:t>
      </w:r>
    </w:p>
    <w:p w:rsidR="00B03242" w:rsidRDefault="00B03242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B03242">
        <w:rPr>
          <w:rFonts w:ascii="Garamond" w:hAnsi="Garamond"/>
          <w:szCs w:val="28"/>
        </w:rPr>
        <w:t xml:space="preserve">Il Decreto legge </w:t>
      </w:r>
      <w:r w:rsidR="00FA3DD1">
        <w:rPr>
          <w:rFonts w:ascii="Garamond" w:hAnsi="Garamond"/>
          <w:szCs w:val="28"/>
        </w:rPr>
        <w:t>n.</w:t>
      </w:r>
      <w:r w:rsidR="00AE22DF">
        <w:rPr>
          <w:rFonts w:ascii="Garamond" w:hAnsi="Garamond"/>
          <w:szCs w:val="28"/>
        </w:rPr>
        <w:t xml:space="preserve"> </w:t>
      </w:r>
      <w:r w:rsidR="00FA3DD1">
        <w:rPr>
          <w:rFonts w:ascii="Garamond" w:hAnsi="Garamond"/>
          <w:szCs w:val="28"/>
        </w:rPr>
        <w:t xml:space="preserve">1 del </w:t>
      </w:r>
      <w:r w:rsidRPr="00B03242">
        <w:rPr>
          <w:rFonts w:ascii="Garamond" w:hAnsi="Garamond"/>
          <w:szCs w:val="28"/>
        </w:rPr>
        <w:t>7</w:t>
      </w:r>
      <w:r w:rsidR="00FA3DD1">
        <w:rPr>
          <w:rFonts w:ascii="Garamond" w:hAnsi="Garamond"/>
          <w:szCs w:val="28"/>
        </w:rPr>
        <w:t>.01.2022</w:t>
      </w:r>
      <w:r>
        <w:rPr>
          <w:rFonts w:ascii="Garamond" w:hAnsi="Garamond"/>
          <w:szCs w:val="28"/>
        </w:rPr>
        <w:t xml:space="preserve"> ha ulteriormente esteso la platea dei soggetti obbligati alla somministrazione del summenzi</w:t>
      </w:r>
      <w:r w:rsidR="00FC629B">
        <w:rPr>
          <w:rFonts w:ascii="Garamond" w:hAnsi="Garamond"/>
          <w:szCs w:val="28"/>
        </w:rPr>
        <w:t xml:space="preserve">onato siero a tutti i cittadini </w:t>
      </w:r>
      <w:r>
        <w:rPr>
          <w:rFonts w:ascii="Garamond" w:hAnsi="Garamond"/>
          <w:szCs w:val="28"/>
        </w:rPr>
        <w:t xml:space="preserve">italiani che hanno compiuto il cinquantesimo anno d’età, </w:t>
      </w:r>
      <w:r w:rsidRPr="00B03242">
        <w:rPr>
          <w:rFonts w:ascii="Garamond" w:hAnsi="Garamond"/>
          <w:b/>
          <w:szCs w:val="28"/>
        </w:rPr>
        <w:t>comportando per i soggetti che svolgono attività lavorativa la sospensione dal luogo di lavoro, e per gli altri soggetti una sanzione amministrativa</w:t>
      </w:r>
      <w:r w:rsidR="006E6949">
        <w:rPr>
          <w:rFonts w:ascii="Garamond" w:hAnsi="Garamond"/>
          <w:szCs w:val="28"/>
        </w:rPr>
        <w:t>.</w:t>
      </w:r>
    </w:p>
    <w:p w:rsidR="00D55E3F" w:rsidRPr="002E384B" w:rsidRDefault="00AE22DF" w:rsidP="0020716E">
      <w:pPr>
        <w:pStyle w:val="Paragrafoelenco"/>
        <w:numPr>
          <w:ilvl w:val="0"/>
          <w:numId w:val="1"/>
        </w:numPr>
        <w:spacing w:after="200" w:line="360" w:lineRule="auto"/>
        <w:ind w:left="426" w:right="170" w:hanging="284"/>
        <w:jc w:val="both"/>
        <w:rPr>
          <w:rFonts w:ascii="Garamond" w:hAnsi="Garamond"/>
        </w:rPr>
      </w:pPr>
      <w:r>
        <w:rPr>
          <w:rFonts w:ascii="Garamond" w:hAnsi="Garamond"/>
          <w:szCs w:val="28"/>
        </w:rPr>
        <w:t>I</w:t>
      </w:r>
      <w:r w:rsidR="00CF3242" w:rsidRPr="002E384B">
        <w:rPr>
          <w:rFonts w:ascii="Garamond" w:hAnsi="Garamond"/>
          <w:szCs w:val="28"/>
        </w:rPr>
        <w:t xml:space="preserve"> c.d. vaccini Covid-19 allo</w:t>
      </w:r>
      <w:r w:rsidR="00EE0E4C" w:rsidRPr="002E384B">
        <w:rPr>
          <w:rFonts w:ascii="Garamond" w:hAnsi="Garamond"/>
          <w:szCs w:val="28"/>
        </w:rPr>
        <w:t xml:space="preserve"> stato somministrati in Italia</w:t>
      </w:r>
      <w:r w:rsidR="00EE0E4C" w:rsidRPr="000A26FF">
        <w:rPr>
          <w:rFonts w:ascii="Garamond" w:hAnsi="Garamond"/>
          <w:szCs w:val="28"/>
        </w:rPr>
        <w:t xml:space="preserve"> </w:t>
      </w:r>
      <w:r w:rsidR="00EE0E4C" w:rsidRPr="000A26FF">
        <w:rPr>
          <w:rFonts w:ascii="Arial" w:hAnsi="Arial"/>
          <w:sz w:val="22"/>
          <w:szCs w:val="22"/>
        </w:rPr>
        <w:t>(</w:t>
      </w:r>
      <w:proofErr w:type="spellStart"/>
      <w:r w:rsidR="00EE0E4C" w:rsidRPr="000A26FF">
        <w:rPr>
          <w:rFonts w:ascii="Garamond" w:hAnsi="Garamond"/>
          <w:sz w:val="22"/>
          <w:szCs w:val="22"/>
        </w:rPr>
        <w:t>Comirnaty</w:t>
      </w:r>
      <w:proofErr w:type="spellEnd"/>
      <w:r w:rsidR="00EE0E4C" w:rsidRPr="000A26FF">
        <w:rPr>
          <w:rFonts w:ascii="Garamond" w:hAnsi="Garamond"/>
          <w:sz w:val="22"/>
          <w:szCs w:val="22"/>
        </w:rPr>
        <w:t xml:space="preserve"> di Pfizer/</w:t>
      </w:r>
      <w:proofErr w:type="spellStart"/>
      <w:r w:rsidR="00EE0E4C" w:rsidRPr="000A26FF">
        <w:rPr>
          <w:rFonts w:ascii="Garamond" w:hAnsi="Garamond"/>
          <w:sz w:val="22"/>
          <w:szCs w:val="22"/>
        </w:rPr>
        <w:t>BioNTech</w:t>
      </w:r>
      <w:proofErr w:type="spellEnd"/>
      <w:r w:rsidR="00EE0E4C" w:rsidRPr="000A26FF">
        <w:rPr>
          <w:rFonts w:ascii="Garamond" w:hAnsi="Garamond"/>
          <w:sz w:val="22"/>
          <w:szCs w:val="22"/>
        </w:rPr>
        <w:t xml:space="preserve">, </w:t>
      </w:r>
      <w:proofErr w:type="spellStart"/>
      <w:r w:rsidR="00EE0E4C" w:rsidRPr="000A26FF">
        <w:rPr>
          <w:rFonts w:ascii="Garamond" w:hAnsi="Garamond"/>
          <w:sz w:val="22"/>
          <w:szCs w:val="22"/>
        </w:rPr>
        <w:t>Spikevax</w:t>
      </w:r>
      <w:proofErr w:type="spellEnd"/>
      <w:r w:rsidR="00EE0E4C" w:rsidRPr="000A26FF">
        <w:rPr>
          <w:rFonts w:ascii="Garamond" w:hAnsi="Garamond"/>
          <w:sz w:val="22"/>
          <w:szCs w:val="22"/>
        </w:rPr>
        <w:t xml:space="preserve"> di Moderna, </w:t>
      </w:r>
      <w:proofErr w:type="spellStart"/>
      <w:r w:rsidR="00EE0E4C" w:rsidRPr="000A26FF">
        <w:rPr>
          <w:rFonts w:ascii="Garamond" w:hAnsi="Garamond"/>
          <w:sz w:val="22"/>
          <w:szCs w:val="22"/>
        </w:rPr>
        <w:t>Vaxzevria</w:t>
      </w:r>
      <w:proofErr w:type="spellEnd"/>
      <w:r w:rsidR="00EE0E4C" w:rsidRPr="000A26FF">
        <w:rPr>
          <w:rFonts w:ascii="Garamond" w:hAnsi="Garamond"/>
          <w:sz w:val="22"/>
          <w:szCs w:val="22"/>
        </w:rPr>
        <w:t xml:space="preserve"> di AstraZeneca e </w:t>
      </w:r>
      <w:proofErr w:type="spellStart"/>
      <w:r w:rsidR="00EE0E4C" w:rsidRPr="000A26FF">
        <w:rPr>
          <w:rFonts w:ascii="Garamond" w:hAnsi="Garamond"/>
          <w:sz w:val="22"/>
          <w:szCs w:val="22"/>
        </w:rPr>
        <w:t>Janssen</w:t>
      </w:r>
      <w:proofErr w:type="spellEnd"/>
      <w:r w:rsidR="00EE0E4C" w:rsidRPr="000A26FF">
        <w:rPr>
          <w:rFonts w:ascii="Garamond" w:hAnsi="Garamond"/>
          <w:sz w:val="22"/>
          <w:szCs w:val="22"/>
        </w:rPr>
        <w:t xml:space="preserve"> di Johnson &amp; Johnson</w:t>
      </w:r>
      <w:r w:rsidR="000A26FF" w:rsidRPr="000A26FF">
        <w:rPr>
          <w:rFonts w:ascii="Garamond" w:hAnsi="Garamond"/>
          <w:sz w:val="22"/>
          <w:szCs w:val="22"/>
        </w:rPr>
        <w:t xml:space="preserve">) </w:t>
      </w:r>
      <w:r w:rsidR="00CF3242" w:rsidRPr="002E384B">
        <w:rPr>
          <w:rFonts w:ascii="Garamond" w:hAnsi="Garamond"/>
          <w:szCs w:val="28"/>
        </w:rPr>
        <w:t>sono stati autorizzati dalla Commissione Europea in modo centralizzato e in via condizionata per un</w:t>
      </w:r>
      <w:r w:rsidR="00A64224">
        <w:rPr>
          <w:rFonts w:ascii="Garamond" w:hAnsi="Garamond"/>
          <w:szCs w:val="28"/>
        </w:rPr>
        <w:t xml:space="preserve"> periodo limitato di un anno. </w:t>
      </w:r>
      <w:r w:rsidR="00D55E3F" w:rsidRPr="002E384B">
        <w:rPr>
          <w:rFonts w:ascii="Garamond" w:hAnsi="Garamond"/>
          <w:szCs w:val="28"/>
        </w:rPr>
        <w:t xml:space="preserve">Unitamente alle singole delibere autorizzative la normativa comunitaria di riferimento in relazione alla disciplina giuridica della somministrazione delle predette sostanze è la seguente: </w:t>
      </w:r>
      <w:r w:rsidR="00D55E3F" w:rsidRPr="002E384B">
        <w:rPr>
          <w:rFonts w:ascii="Garamond" w:hAnsi="Garamond"/>
          <w:b/>
          <w:szCs w:val="28"/>
        </w:rPr>
        <w:t>a)</w:t>
      </w:r>
      <w:r w:rsidR="00D55E3F" w:rsidRPr="002E384B">
        <w:rPr>
          <w:rFonts w:ascii="Garamond" w:hAnsi="Garamond"/>
          <w:szCs w:val="28"/>
        </w:rPr>
        <w:t xml:space="preserve"> </w:t>
      </w:r>
      <w:r w:rsidR="00D55E3F" w:rsidRPr="002E384B">
        <w:rPr>
          <w:rFonts w:ascii="Garamond" w:hAnsi="Garamond"/>
        </w:rPr>
        <w:t>Direttiva 2001/83/CE del parlamento europeo e del consiglio del 6.11.2001 recante un codice comunitario relativo ai medicinali</w:t>
      </w:r>
      <w:r w:rsidR="008B4FF2">
        <w:rPr>
          <w:rFonts w:ascii="Garamond" w:hAnsi="Garamond"/>
        </w:rPr>
        <w:t xml:space="preserve"> per uso umano; </w:t>
      </w:r>
      <w:r w:rsidR="004F1013" w:rsidRPr="002E384B">
        <w:rPr>
          <w:rFonts w:ascii="Garamond" w:hAnsi="Garamond"/>
          <w:b/>
        </w:rPr>
        <w:t>b)</w:t>
      </w:r>
      <w:r w:rsidR="008B4FF2">
        <w:rPr>
          <w:rFonts w:ascii="Garamond" w:hAnsi="Garamond"/>
        </w:rPr>
        <w:t xml:space="preserve"> R</w:t>
      </w:r>
      <w:r w:rsidR="004F1013" w:rsidRPr="002E384B">
        <w:rPr>
          <w:rFonts w:ascii="Garamond" w:hAnsi="Garamond"/>
        </w:rPr>
        <w:t xml:space="preserve">egolamento CE n. 726/2004 del parlamento europeo e del consiglio del 31 marzo 2004 che istituisce le procedure comunitarie per l’autorizzazione e la sorveglianza dei medicinali per uso umano e veterinario, e che istituisce l’Agenzia Europea per i medicinali;  </w:t>
      </w:r>
      <w:r w:rsidR="004F1013" w:rsidRPr="002E384B">
        <w:rPr>
          <w:rFonts w:ascii="Garamond" w:hAnsi="Garamond"/>
          <w:b/>
        </w:rPr>
        <w:t>c)</w:t>
      </w:r>
      <w:r w:rsidR="004F1013" w:rsidRPr="002E384B">
        <w:rPr>
          <w:rFonts w:ascii="Garamond" w:hAnsi="Garamond"/>
        </w:rPr>
        <w:t xml:space="preserve"> </w:t>
      </w:r>
      <w:r w:rsidR="00DC581F">
        <w:rPr>
          <w:rFonts w:ascii="Garamond" w:hAnsi="Garamond"/>
        </w:rPr>
        <w:t>R</w:t>
      </w:r>
      <w:r w:rsidR="00D55E3F" w:rsidRPr="002E384B">
        <w:rPr>
          <w:rFonts w:ascii="Garamond" w:hAnsi="Garamond"/>
        </w:rPr>
        <w:t xml:space="preserve">egolamento CE n. 507/2006 della Commissione del 29 marzo 2006 relativo </w:t>
      </w:r>
      <w:r w:rsidR="00D55E3F" w:rsidRPr="002E384B">
        <w:rPr>
          <w:rFonts w:ascii="Garamond" w:hAnsi="Garamond"/>
        </w:rPr>
        <w:lastRenderedPageBreak/>
        <w:t>all’autorizzazione all’immissione in commercio condizionata dei medicinali per uso umano che rientrano nel campo d’applicazione del regolamento CE n. 726/2004 del parlamento europeo e del consiglio;</w:t>
      </w:r>
    </w:p>
    <w:p w:rsidR="00FD06A4" w:rsidRPr="00DC581F" w:rsidRDefault="00A45CFA" w:rsidP="00FA3DD1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szCs w:val="28"/>
        </w:rPr>
        <w:t>I</w:t>
      </w:r>
      <w:r w:rsidR="004F1013" w:rsidRPr="00A45CFA">
        <w:rPr>
          <w:rFonts w:ascii="Garamond" w:hAnsi="Garamond"/>
          <w:szCs w:val="28"/>
        </w:rPr>
        <w:t>n particolare, i</w:t>
      </w:r>
      <w:r w:rsidR="006E6949" w:rsidRPr="00A45CFA">
        <w:rPr>
          <w:rFonts w:ascii="Garamond" w:hAnsi="Garamond"/>
          <w:szCs w:val="28"/>
        </w:rPr>
        <w:t>l</w:t>
      </w:r>
      <w:r w:rsidR="006E6949" w:rsidRPr="004F1013">
        <w:rPr>
          <w:rFonts w:ascii="Garamond" w:hAnsi="Garamond"/>
          <w:szCs w:val="28"/>
        </w:rPr>
        <w:t xml:space="preserve"> </w:t>
      </w:r>
      <w:r w:rsidR="00FD06A4" w:rsidRPr="004F1013">
        <w:rPr>
          <w:rFonts w:ascii="Garamond" w:hAnsi="Garamond"/>
          <w:szCs w:val="28"/>
        </w:rPr>
        <w:t xml:space="preserve">documento EPAR, </w:t>
      </w:r>
      <w:r w:rsidR="00D84BCA" w:rsidRPr="004F1013">
        <w:rPr>
          <w:rFonts w:ascii="Garamond" w:hAnsi="Garamond"/>
          <w:szCs w:val="28"/>
        </w:rPr>
        <w:t>p</w:t>
      </w:r>
      <w:r w:rsidR="00FD06A4" w:rsidRPr="004F1013">
        <w:rPr>
          <w:rFonts w:ascii="Garamond" w:hAnsi="Garamond"/>
          <w:szCs w:val="28"/>
        </w:rPr>
        <w:t>ubblicato dalla a</w:t>
      </w:r>
      <w:r w:rsidR="00D84BCA" w:rsidRPr="004F1013">
        <w:rPr>
          <w:rFonts w:ascii="Garamond" w:hAnsi="Garamond"/>
          <w:szCs w:val="28"/>
        </w:rPr>
        <w:t>genzia europea per i medicinali (</w:t>
      </w:r>
      <w:r w:rsidR="00FD06A4" w:rsidRPr="004F1013">
        <w:rPr>
          <w:rFonts w:ascii="Garamond" w:hAnsi="Garamond"/>
          <w:szCs w:val="28"/>
        </w:rPr>
        <w:t>ultimo aggiornamento</w:t>
      </w:r>
      <w:r w:rsidR="00B37A2A" w:rsidRPr="004F1013">
        <w:rPr>
          <w:rFonts w:ascii="Garamond" w:hAnsi="Garamond"/>
          <w:szCs w:val="28"/>
        </w:rPr>
        <w:t xml:space="preserve"> 07.12.2021, </w:t>
      </w:r>
      <w:hyperlink r:id="rId7" w:history="1">
        <w:r w:rsidR="00FD06A4" w:rsidRPr="004F1013">
          <w:rPr>
            <w:rStyle w:val="Collegamentoipertestuale"/>
            <w:rFonts w:ascii="Garamond" w:hAnsi="Garamond"/>
            <w:i/>
            <w:color w:val="auto"/>
            <w:szCs w:val="28"/>
          </w:rPr>
          <w:t>https://www.ema.europa.eu/en/medicines/human/EPAR/comirnaty</w:t>
        </w:r>
      </w:hyperlink>
      <w:r w:rsidR="00FD06A4" w:rsidRPr="004F1013">
        <w:rPr>
          <w:rFonts w:ascii="Garamond" w:hAnsi="Garamond"/>
          <w:szCs w:val="28"/>
        </w:rPr>
        <w:t>)</w:t>
      </w:r>
      <w:r w:rsidR="00BD09D7" w:rsidRPr="004F1013">
        <w:rPr>
          <w:rFonts w:ascii="Garamond" w:hAnsi="Garamond"/>
          <w:szCs w:val="28"/>
        </w:rPr>
        <w:t xml:space="preserve">, </w:t>
      </w:r>
      <w:r w:rsidR="007D419B" w:rsidRPr="004F1013">
        <w:rPr>
          <w:rFonts w:ascii="Garamond" w:hAnsi="Garamond"/>
          <w:szCs w:val="28"/>
        </w:rPr>
        <w:t xml:space="preserve">e riportato dall’Ema, </w:t>
      </w:r>
      <w:r w:rsidR="006E6949" w:rsidRPr="00A45CFA">
        <w:rPr>
          <w:rFonts w:ascii="Garamond" w:hAnsi="Garamond"/>
          <w:szCs w:val="28"/>
        </w:rPr>
        <w:t>prevede che</w:t>
      </w:r>
      <w:r w:rsidR="006E6949" w:rsidRPr="004F1013">
        <w:rPr>
          <w:rFonts w:ascii="Garamond" w:hAnsi="Garamond"/>
          <w:szCs w:val="28"/>
        </w:rPr>
        <w:t xml:space="preserve"> </w:t>
      </w:r>
      <w:r w:rsidR="007D419B" w:rsidRPr="004F1013">
        <w:rPr>
          <w:rFonts w:ascii="Garamond" w:hAnsi="Garamond"/>
          <w:szCs w:val="28"/>
        </w:rPr>
        <w:t xml:space="preserve">il siero </w:t>
      </w:r>
      <w:r w:rsidR="00BD09D7" w:rsidRPr="004F1013">
        <w:rPr>
          <w:rFonts w:ascii="Garamond" w:hAnsi="Garamond"/>
          <w:szCs w:val="28"/>
        </w:rPr>
        <w:t>“</w:t>
      </w:r>
      <w:proofErr w:type="spellStart"/>
      <w:r w:rsidR="00FA3DD1" w:rsidRPr="004F1013">
        <w:rPr>
          <w:rFonts w:ascii="Garamond" w:hAnsi="Garamond"/>
          <w:i/>
          <w:szCs w:val="28"/>
        </w:rPr>
        <w:t>Comirna</w:t>
      </w:r>
      <w:r w:rsidR="00BD09D7" w:rsidRPr="004F1013">
        <w:rPr>
          <w:rFonts w:ascii="Garamond" w:hAnsi="Garamond"/>
          <w:i/>
          <w:szCs w:val="28"/>
        </w:rPr>
        <w:t>ty</w:t>
      </w:r>
      <w:proofErr w:type="spellEnd"/>
      <w:r w:rsidR="00BD09D7" w:rsidRPr="004F1013">
        <w:rPr>
          <w:rFonts w:ascii="Garamond" w:hAnsi="Garamond"/>
          <w:szCs w:val="28"/>
        </w:rPr>
        <w:t xml:space="preserve">”, dell’azienda farmaceutica Pfizer, </w:t>
      </w:r>
      <w:r w:rsidR="007D419B" w:rsidRPr="004F1013">
        <w:rPr>
          <w:rFonts w:ascii="Garamond" w:hAnsi="Garamond"/>
          <w:szCs w:val="28"/>
        </w:rPr>
        <w:t xml:space="preserve"> è stato immesso sul mercato </w:t>
      </w:r>
      <w:r w:rsidR="007D419B" w:rsidRPr="004F1013">
        <w:rPr>
          <w:rFonts w:ascii="Garamond" w:hAnsi="Garamond"/>
          <w:b/>
          <w:szCs w:val="28"/>
          <w:u w:val="single"/>
        </w:rPr>
        <w:t>con autorizzazione condizionata</w:t>
      </w:r>
      <w:r w:rsidR="007D419B" w:rsidRPr="004F1013">
        <w:rPr>
          <w:rFonts w:ascii="Garamond" w:hAnsi="Garamond"/>
          <w:szCs w:val="28"/>
        </w:rPr>
        <w:t xml:space="preserve">, </w:t>
      </w:r>
      <w:r w:rsidR="00CC62DD" w:rsidRPr="004F1013">
        <w:rPr>
          <w:rFonts w:ascii="Garamond" w:hAnsi="Garamond"/>
          <w:szCs w:val="28"/>
        </w:rPr>
        <w:t>dunque</w:t>
      </w:r>
      <w:r w:rsidR="00FA3DD1" w:rsidRPr="004F1013">
        <w:rPr>
          <w:rFonts w:ascii="Garamond" w:hAnsi="Garamond"/>
          <w:szCs w:val="28"/>
        </w:rPr>
        <w:t xml:space="preserve"> </w:t>
      </w:r>
      <w:r w:rsidR="00CC62DD" w:rsidRPr="00A45CFA">
        <w:rPr>
          <w:rFonts w:ascii="Garamond" w:hAnsi="Garamond"/>
          <w:szCs w:val="28"/>
        </w:rPr>
        <w:t>subordinata e vincolata al rispetto di obblighi e condizioni ben specifiche. La predetta autorizzazione non solo è stata concessa in ragione di dati meno completi di quelli normalmente richiesti,</w:t>
      </w:r>
      <w:r w:rsidR="000E7AC6" w:rsidRPr="00A45CFA">
        <w:rPr>
          <w:rFonts w:ascii="Garamond" w:hAnsi="Garamond"/>
          <w:szCs w:val="28"/>
        </w:rPr>
        <w:t xml:space="preserve"> ma anche in</w:t>
      </w:r>
      <w:r w:rsidR="00CC62DD" w:rsidRPr="004F1013">
        <w:rPr>
          <w:rFonts w:ascii="Garamond" w:hAnsi="Garamond"/>
          <w:color w:val="00B0F0"/>
          <w:szCs w:val="28"/>
        </w:rPr>
        <w:t xml:space="preserve"> </w:t>
      </w:r>
      <w:r w:rsidR="000E7AC6" w:rsidRPr="004F1013">
        <w:rPr>
          <w:rFonts w:ascii="Garamond" w:hAnsi="Garamond"/>
          <w:szCs w:val="28"/>
        </w:rPr>
        <w:t xml:space="preserve">mancanza di approfonditi studi in fase preliminare, </w:t>
      </w:r>
      <w:r w:rsidR="000E7AC6" w:rsidRPr="00A45CFA">
        <w:rPr>
          <w:rFonts w:ascii="Garamond" w:hAnsi="Garamond"/>
          <w:szCs w:val="28"/>
        </w:rPr>
        <w:t>e in totale assenza di</w:t>
      </w:r>
      <w:r w:rsidR="000E7AC6" w:rsidRPr="004F1013">
        <w:rPr>
          <w:rFonts w:ascii="Garamond" w:hAnsi="Garamond"/>
          <w:color w:val="00B0F0"/>
          <w:szCs w:val="28"/>
        </w:rPr>
        <w:t xml:space="preserve"> </w:t>
      </w:r>
      <w:r w:rsidR="000E7AC6" w:rsidRPr="004F1013">
        <w:rPr>
          <w:rFonts w:ascii="Garamond" w:hAnsi="Garamond"/>
          <w:szCs w:val="28"/>
        </w:rPr>
        <w:t>strutturati studi farmacologici e clinici</w:t>
      </w:r>
      <w:r>
        <w:rPr>
          <w:rFonts w:ascii="Garamond" w:hAnsi="Garamond"/>
          <w:szCs w:val="28"/>
        </w:rPr>
        <w:t xml:space="preserve">. Da qui l’obbligo conseguente </w:t>
      </w:r>
      <w:r w:rsidR="007D419B" w:rsidRPr="004F1013">
        <w:rPr>
          <w:rFonts w:ascii="Garamond" w:hAnsi="Garamond"/>
          <w:szCs w:val="28"/>
        </w:rPr>
        <w:t xml:space="preserve">a carico delle aziende produttrici, </w:t>
      </w:r>
      <w:r w:rsidR="000E7AC6" w:rsidRPr="004F1013">
        <w:rPr>
          <w:rFonts w:ascii="Garamond" w:hAnsi="Garamond"/>
          <w:szCs w:val="28"/>
        </w:rPr>
        <w:t>di</w:t>
      </w:r>
      <w:r>
        <w:rPr>
          <w:rFonts w:ascii="Garamond" w:hAnsi="Garamond"/>
          <w:szCs w:val="28"/>
        </w:rPr>
        <w:t xml:space="preserve"> fornire </w:t>
      </w:r>
      <w:r w:rsidR="007D419B" w:rsidRPr="004F1013">
        <w:rPr>
          <w:rFonts w:ascii="Garamond" w:hAnsi="Garamond"/>
          <w:szCs w:val="28"/>
        </w:rPr>
        <w:t xml:space="preserve">dati post-somministrazione </w:t>
      </w:r>
      <w:r w:rsidR="00DC581F">
        <w:rPr>
          <w:rFonts w:ascii="Garamond" w:hAnsi="Garamond"/>
          <w:szCs w:val="28"/>
        </w:rPr>
        <w:t>della “vaccinazione”</w:t>
      </w:r>
      <w:r w:rsidR="00A220EB" w:rsidRPr="004F1013">
        <w:rPr>
          <w:rFonts w:ascii="Garamond" w:hAnsi="Garamond"/>
          <w:szCs w:val="28"/>
        </w:rPr>
        <w:t xml:space="preserve"> </w:t>
      </w:r>
      <w:r w:rsidR="00D84BCA" w:rsidRPr="00DC581F">
        <w:rPr>
          <w:rFonts w:ascii="Garamond" w:hAnsi="Garamond"/>
          <w:szCs w:val="28"/>
        </w:rPr>
        <w:t>(“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Comirnaty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has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been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granted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a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conditional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marketing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authorisation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.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This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means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that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there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is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more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evidence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to come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about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the vaccine (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see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below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),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which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the company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is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required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to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provide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. The Agency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will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review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any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new information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that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becomes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available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and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this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overview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will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be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updated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as</w:t>
      </w:r>
      <w:proofErr w:type="spellEnd"/>
      <w:r w:rsidR="00D84BCA" w:rsidRPr="004F1013">
        <w:rPr>
          <w:rFonts w:ascii="Garamond" w:hAnsi="Garamond"/>
          <w:i/>
          <w:szCs w:val="28"/>
          <w:u w:val="single"/>
        </w:rPr>
        <w:t xml:space="preserve"> </w:t>
      </w:r>
      <w:proofErr w:type="spellStart"/>
      <w:r w:rsidR="00D84BCA" w:rsidRPr="004F1013">
        <w:rPr>
          <w:rFonts w:ascii="Garamond" w:hAnsi="Garamond"/>
          <w:i/>
          <w:szCs w:val="28"/>
          <w:u w:val="single"/>
        </w:rPr>
        <w:t>necessary</w:t>
      </w:r>
      <w:proofErr w:type="spellEnd"/>
      <w:r w:rsidR="00D84BCA" w:rsidRPr="004F1013">
        <w:rPr>
          <w:rFonts w:ascii="Garamond" w:hAnsi="Garamond"/>
          <w:szCs w:val="28"/>
          <w:u w:val="single"/>
        </w:rPr>
        <w:t>”</w:t>
      </w:r>
      <w:r w:rsidR="00A220EB" w:rsidRPr="004F1013">
        <w:rPr>
          <w:rFonts w:ascii="Garamond" w:hAnsi="Garamond"/>
          <w:szCs w:val="28"/>
        </w:rPr>
        <w:t>, quesito</w:t>
      </w:r>
      <w:r w:rsidR="00B7669D" w:rsidRPr="004F1013">
        <w:rPr>
          <w:rFonts w:ascii="Garamond" w:hAnsi="Garamond"/>
          <w:szCs w:val="28"/>
        </w:rPr>
        <w:t xml:space="preserve"> Nr. 13</w:t>
      </w:r>
      <w:r w:rsidR="00A220EB" w:rsidRPr="004F1013">
        <w:rPr>
          <w:rFonts w:ascii="Garamond" w:hAnsi="Garamond"/>
          <w:szCs w:val="28"/>
        </w:rPr>
        <w:t xml:space="preserve"> “</w:t>
      </w:r>
      <w:proofErr w:type="spellStart"/>
      <w:r w:rsidR="00A220EB" w:rsidRPr="004F1013">
        <w:rPr>
          <w:rFonts w:ascii="Garamond" w:hAnsi="Garamond"/>
          <w:i/>
          <w:szCs w:val="28"/>
        </w:rPr>
        <w:t>Why</w:t>
      </w:r>
      <w:proofErr w:type="spellEnd"/>
      <w:r w:rsidR="00A220EB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A220EB" w:rsidRPr="004F1013">
        <w:rPr>
          <w:rFonts w:ascii="Garamond" w:hAnsi="Garamond"/>
          <w:i/>
          <w:szCs w:val="28"/>
        </w:rPr>
        <w:t>is</w:t>
      </w:r>
      <w:proofErr w:type="spellEnd"/>
      <w:r w:rsidR="00A220EB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A220EB" w:rsidRPr="004F1013">
        <w:rPr>
          <w:rFonts w:ascii="Garamond" w:hAnsi="Garamond"/>
          <w:i/>
          <w:szCs w:val="28"/>
        </w:rPr>
        <w:t>Comirnartt</w:t>
      </w:r>
      <w:proofErr w:type="spellEnd"/>
      <w:r w:rsidR="00A220EB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A220EB" w:rsidRPr="004F1013">
        <w:rPr>
          <w:rFonts w:ascii="Garamond" w:hAnsi="Garamond"/>
          <w:i/>
          <w:szCs w:val="28"/>
        </w:rPr>
        <w:t>autohorised</w:t>
      </w:r>
      <w:proofErr w:type="spellEnd"/>
      <w:r w:rsidR="00A220EB" w:rsidRPr="004F1013">
        <w:rPr>
          <w:rFonts w:ascii="Garamond" w:hAnsi="Garamond"/>
          <w:i/>
          <w:szCs w:val="28"/>
        </w:rPr>
        <w:t xml:space="preserve"> in EU</w:t>
      </w:r>
      <w:r w:rsidR="00A220EB" w:rsidRPr="004F1013">
        <w:rPr>
          <w:rFonts w:ascii="Garamond" w:hAnsi="Garamond"/>
          <w:szCs w:val="28"/>
        </w:rPr>
        <w:t>”</w:t>
      </w:r>
      <w:r w:rsidR="00B7669D" w:rsidRPr="004F1013">
        <w:rPr>
          <w:rFonts w:ascii="Garamond" w:hAnsi="Garamond"/>
          <w:szCs w:val="28"/>
        </w:rPr>
        <w:t>, e quesito Nr. 14 “</w:t>
      </w:r>
      <w:proofErr w:type="spellStart"/>
      <w:r w:rsidR="00B7669D" w:rsidRPr="004F1013">
        <w:rPr>
          <w:rFonts w:ascii="Garamond" w:hAnsi="Garamond"/>
          <w:i/>
          <w:szCs w:val="28"/>
        </w:rPr>
        <w:t>What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information </w:t>
      </w:r>
      <w:proofErr w:type="spellStart"/>
      <w:r w:rsidR="00B7669D" w:rsidRPr="004F1013">
        <w:rPr>
          <w:rFonts w:ascii="Garamond" w:hAnsi="Garamond"/>
          <w:i/>
          <w:szCs w:val="28"/>
        </w:rPr>
        <w:t>is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B7669D" w:rsidRPr="004F1013">
        <w:rPr>
          <w:rFonts w:ascii="Garamond" w:hAnsi="Garamond"/>
          <w:i/>
          <w:szCs w:val="28"/>
        </w:rPr>
        <w:t>still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B7669D" w:rsidRPr="004F1013">
        <w:rPr>
          <w:rFonts w:ascii="Garamond" w:hAnsi="Garamond"/>
          <w:i/>
          <w:szCs w:val="28"/>
        </w:rPr>
        <w:t>awaited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for </w:t>
      </w:r>
      <w:proofErr w:type="spellStart"/>
      <w:r w:rsidR="00B7669D" w:rsidRPr="004F1013">
        <w:rPr>
          <w:rFonts w:ascii="Garamond" w:hAnsi="Garamond"/>
          <w:i/>
          <w:szCs w:val="28"/>
        </w:rPr>
        <w:t>Comirnarty</w:t>
      </w:r>
      <w:proofErr w:type="spellEnd"/>
      <w:r w:rsidR="00B7669D" w:rsidRPr="004F1013">
        <w:rPr>
          <w:rFonts w:ascii="Garamond" w:hAnsi="Garamond"/>
          <w:szCs w:val="28"/>
        </w:rPr>
        <w:t>”</w:t>
      </w:r>
      <w:r w:rsidR="005D2EC8" w:rsidRPr="004F1013">
        <w:rPr>
          <w:rFonts w:ascii="Garamond" w:hAnsi="Garamond"/>
          <w:szCs w:val="28"/>
        </w:rPr>
        <w:t xml:space="preserve"> </w:t>
      </w:r>
      <w:r w:rsidR="00B7669D" w:rsidRPr="004F1013">
        <w:rPr>
          <w:rFonts w:ascii="Garamond" w:hAnsi="Garamond"/>
          <w:szCs w:val="28"/>
        </w:rPr>
        <w:t>“</w:t>
      </w:r>
      <w:proofErr w:type="spellStart"/>
      <w:r w:rsidR="00B7669D" w:rsidRPr="004F1013">
        <w:rPr>
          <w:rFonts w:ascii="Garamond" w:hAnsi="Garamond"/>
          <w:i/>
          <w:szCs w:val="28"/>
        </w:rPr>
        <w:t>As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B7669D" w:rsidRPr="004F1013">
        <w:rPr>
          <w:rFonts w:ascii="Garamond" w:hAnsi="Garamond"/>
          <w:i/>
          <w:szCs w:val="28"/>
        </w:rPr>
        <w:t>Comirnaty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B7669D" w:rsidRPr="004F1013">
        <w:rPr>
          <w:rFonts w:ascii="Garamond" w:hAnsi="Garamond"/>
          <w:i/>
          <w:szCs w:val="28"/>
        </w:rPr>
        <w:t>received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a </w:t>
      </w:r>
      <w:proofErr w:type="spellStart"/>
      <w:r w:rsidR="00B7669D" w:rsidRPr="004F1013">
        <w:rPr>
          <w:rFonts w:ascii="Garamond" w:hAnsi="Garamond"/>
          <w:i/>
          <w:szCs w:val="28"/>
        </w:rPr>
        <w:t>conditional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marketing </w:t>
      </w:r>
      <w:proofErr w:type="spellStart"/>
      <w:r w:rsidR="00B7669D" w:rsidRPr="004F1013">
        <w:rPr>
          <w:rFonts w:ascii="Garamond" w:hAnsi="Garamond"/>
          <w:i/>
          <w:szCs w:val="28"/>
        </w:rPr>
        <w:t>authorisation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, the company </w:t>
      </w:r>
      <w:proofErr w:type="spellStart"/>
      <w:r w:rsidR="00B7669D" w:rsidRPr="004F1013">
        <w:rPr>
          <w:rFonts w:ascii="Garamond" w:hAnsi="Garamond"/>
          <w:i/>
          <w:szCs w:val="28"/>
        </w:rPr>
        <w:t>that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B7669D" w:rsidRPr="004F1013">
        <w:rPr>
          <w:rFonts w:ascii="Garamond" w:hAnsi="Garamond"/>
          <w:i/>
          <w:szCs w:val="28"/>
        </w:rPr>
        <w:t>markets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B7669D" w:rsidRPr="004F1013">
        <w:rPr>
          <w:rFonts w:ascii="Garamond" w:hAnsi="Garamond"/>
          <w:i/>
          <w:szCs w:val="28"/>
        </w:rPr>
        <w:t>Comirnaty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B7669D" w:rsidRPr="004F1013">
        <w:rPr>
          <w:rFonts w:ascii="Garamond" w:hAnsi="Garamond"/>
          <w:i/>
          <w:szCs w:val="28"/>
        </w:rPr>
        <w:t>will</w:t>
      </w:r>
      <w:proofErr w:type="spellEnd"/>
      <w:r w:rsidR="005D2EC8" w:rsidRPr="004F1013">
        <w:rPr>
          <w:rFonts w:ascii="Garamond" w:hAnsi="Garamond"/>
          <w:i/>
          <w:szCs w:val="28"/>
        </w:rPr>
        <w:t xml:space="preserve"> </w:t>
      </w:r>
      <w:r w:rsidR="00B7669D" w:rsidRPr="004F1013">
        <w:rPr>
          <w:rFonts w:ascii="Garamond" w:hAnsi="Garamond"/>
          <w:i/>
          <w:szCs w:val="28"/>
        </w:rPr>
        <w:t xml:space="preserve">continue to </w:t>
      </w:r>
      <w:proofErr w:type="spellStart"/>
      <w:r w:rsidR="00B7669D" w:rsidRPr="004F1013">
        <w:rPr>
          <w:rFonts w:ascii="Garamond" w:hAnsi="Garamond"/>
          <w:i/>
          <w:szCs w:val="28"/>
        </w:rPr>
        <w:t>provide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</w:t>
      </w:r>
      <w:proofErr w:type="spellStart"/>
      <w:r w:rsidR="00B7669D" w:rsidRPr="004F1013">
        <w:rPr>
          <w:rFonts w:ascii="Garamond" w:hAnsi="Garamond"/>
          <w:i/>
          <w:szCs w:val="28"/>
        </w:rPr>
        <w:t>results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from the </w:t>
      </w:r>
      <w:proofErr w:type="spellStart"/>
      <w:r w:rsidR="00B7669D" w:rsidRPr="004F1013">
        <w:rPr>
          <w:rFonts w:ascii="Garamond" w:hAnsi="Garamond"/>
          <w:i/>
          <w:szCs w:val="28"/>
        </w:rPr>
        <w:t>main</w:t>
      </w:r>
      <w:proofErr w:type="spellEnd"/>
      <w:r w:rsidR="00B7669D" w:rsidRPr="004F1013">
        <w:rPr>
          <w:rFonts w:ascii="Garamond" w:hAnsi="Garamond"/>
          <w:i/>
          <w:szCs w:val="28"/>
        </w:rPr>
        <w:t xml:space="preserve"> trial in </w:t>
      </w:r>
      <w:proofErr w:type="spellStart"/>
      <w:r w:rsidR="00B7669D" w:rsidRPr="004F1013">
        <w:rPr>
          <w:rFonts w:ascii="Garamond" w:hAnsi="Garamond"/>
          <w:i/>
          <w:szCs w:val="28"/>
        </w:rPr>
        <w:t>adults</w:t>
      </w:r>
      <w:proofErr w:type="spellEnd"/>
      <w:r w:rsidR="00982757" w:rsidRPr="004F1013">
        <w:rPr>
          <w:rFonts w:ascii="Garamond" w:hAnsi="Garamond"/>
          <w:szCs w:val="28"/>
        </w:rPr>
        <w:t>…”);</w:t>
      </w:r>
    </w:p>
    <w:p w:rsidR="00DC581F" w:rsidRPr="00F47997" w:rsidRDefault="00F47997" w:rsidP="00FA3DD1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A7160A">
        <w:rPr>
          <w:rFonts w:ascii="Garamond" w:hAnsi="Garamond"/>
          <w:b/>
          <w:szCs w:val="28"/>
        </w:rPr>
        <w:t>L’autorizzazione condizionata di cui sopra viene, tra l’altro, confermata dalla stessa casa farmaceutica</w:t>
      </w:r>
      <w:r>
        <w:rPr>
          <w:rFonts w:ascii="Garamond" w:hAnsi="Garamond"/>
          <w:szCs w:val="28"/>
        </w:rPr>
        <w:t xml:space="preserve"> la quale, nell’Allegato 4 del “</w:t>
      </w:r>
      <w:r w:rsidRPr="00F47997">
        <w:rPr>
          <w:rFonts w:ascii="Garamond" w:hAnsi="Garamond"/>
          <w:i/>
          <w:szCs w:val="28"/>
        </w:rPr>
        <w:t>Riassunto delle caratteristiche tecniche del prodotto</w:t>
      </w:r>
      <w:r>
        <w:rPr>
          <w:rFonts w:ascii="Garamond" w:hAnsi="Garamond"/>
          <w:szCs w:val="28"/>
        </w:rPr>
        <w:t>”, alla voce “</w:t>
      </w:r>
      <w:r w:rsidRPr="00F47997">
        <w:rPr>
          <w:rFonts w:ascii="Garamond" w:hAnsi="Garamond"/>
          <w:i/>
          <w:szCs w:val="28"/>
        </w:rPr>
        <w:t>Conclusioni relative al rilascio dell’autorizzazione all’immissione in commercio subordinata a condizioni presentate dall’Agenzia europea per i medicinali</w:t>
      </w:r>
      <w:r>
        <w:rPr>
          <w:rFonts w:ascii="Garamond" w:hAnsi="Garamond"/>
          <w:szCs w:val="28"/>
        </w:rPr>
        <w:t>” che qui si allega (</w:t>
      </w:r>
      <w:proofErr w:type="spellStart"/>
      <w:r>
        <w:rPr>
          <w:rFonts w:ascii="Garamond" w:hAnsi="Garamond"/>
          <w:szCs w:val="28"/>
        </w:rPr>
        <w:t>pagg</w:t>
      </w:r>
      <w:proofErr w:type="spellEnd"/>
      <w:r>
        <w:rPr>
          <w:rFonts w:ascii="Garamond" w:hAnsi="Garamond"/>
          <w:szCs w:val="28"/>
        </w:rPr>
        <w:t>. 33 e 34);</w:t>
      </w:r>
    </w:p>
    <w:p w:rsidR="002E384B" w:rsidRPr="003D2B2B" w:rsidRDefault="004F1013" w:rsidP="00FA3DD1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b/>
          <w:i/>
          <w:szCs w:val="28"/>
        </w:rPr>
      </w:pPr>
      <w:r w:rsidRPr="003D2B2B">
        <w:rPr>
          <w:rFonts w:ascii="Garamond" w:hAnsi="Garamond"/>
          <w:szCs w:val="28"/>
        </w:rPr>
        <w:t>G</w:t>
      </w:r>
      <w:r w:rsidR="000E7AC6" w:rsidRPr="003D2B2B">
        <w:rPr>
          <w:rFonts w:ascii="Garamond" w:hAnsi="Garamond"/>
          <w:szCs w:val="28"/>
        </w:rPr>
        <w:t>li obblighi che a seguito</w:t>
      </w:r>
      <w:r w:rsidRPr="003D2B2B">
        <w:rPr>
          <w:rFonts w:ascii="Garamond" w:hAnsi="Garamond"/>
          <w:szCs w:val="28"/>
        </w:rPr>
        <w:t xml:space="preserve"> di </w:t>
      </w:r>
      <w:r w:rsidR="000E7AC6" w:rsidRPr="003D2B2B">
        <w:rPr>
          <w:rFonts w:ascii="Garamond" w:hAnsi="Garamond"/>
          <w:szCs w:val="28"/>
        </w:rPr>
        <w:t>autorizzazione condizionata sorgono in capo alle aziende produttrici</w:t>
      </w:r>
      <w:r w:rsidRPr="003D2B2B">
        <w:rPr>
          <w:rFonts w:ascii="Garamond" w:hAnsi="Garamond"/>
          <w:szCs w:val="28"/>
        </w:rPr>
        <w:t xml:space="preserve"> sono</w:t>
      </w:r>
      <w:r w:rsidR="000E7AC6" w:rsidRPr="003D2B2B">
        <w:rPr>
          <w:rFonts w:ascii="Garamond" w:hAnsi="Garamond"/>
          <w:szCs w:val="28"/>
        </w:rPr>
        <w:t xml:space="preserve"> previsti</w:t>
      </w:r>
      <w:r w:rsidR="00D32CDE" w:rsidRPr="003D2B2B">
        <w:rPr>
          <w:rFonts w:ascii="Garamond" w:hAnsi="Garamond"/>
          <w:szCs w:val="28"/>
        </w:rPr>
        <w:t xml:space="preserve"> dal Regolamento CE n. 507/2006,</w:t>
      </w:r>
      <w:r w:rsidRPr="003D2B2B">
        <w:rPr>
          <w:rFonts w:ascii="Garamond" w:hAnsi="Garamond"/>
          <w:szCs w:val="28"/>
        </w:rPr>
        <w:t xml:space="preserve"> </w:t>
      </w:r>
      <w:r w:rsidR="002E384B" w:rsidRPr="003D2B2B">
        <w:rPr>
          <w:rFonts w:ascii="Garamond" w:hAnsi="Garamond"/>
          <w:szCs w:val="28"/>
        </w:rPr>
        <w:t>i</w:t>
      </w:r>
      <w:r w:rsidRPr="003D2B2B">
        <w:rPr>
          <w:rFonts w:ascii="Garamond" w:hAnsi="Garamond"/>
          <w:szCs w:val="28"/>
        </w:rPr>
        <w:t xml:space="preserve">n particolare: </w:t>
      </w:r>
      <w:r w:rsidR="0086745C" w:rsidRPr="003D2B2B">
        <w:rPr>
          <w:rFonts w:ascii="Garamond" w:hAnsi="Garamond"/>
          <w:szCs w:val="28"/>
          <w:u w:val="single"/>
        </w:rPr>
        <w:t>considerando (10</w:t>
      </w:r>
      <w:r w:rsidR="0086745C" w:rsidRPr="003D2B2B">
        <w:rPr>
          <w:rFonts w:ascii="Garamond" w:hAnsi="Garamond"/>
          <w:szCs w:val="28"/>
        </w:rPr>
        <w:t>): “</w:t>
      </w:r>
      <w:r w:rsidR="0086745C" w:rsidRPr="00497351">
        <w:rPr>
          <w:rFonts w:ascii="Garamond" w:hAnsi="Garamond"/>
          <w:i/>
          <w:szCs w:val="28"/>
        </w:rPr>
        <w:t>E’ opportuno fornire ai pazienti e agli operatori sanitari informazioni chiari sul carattere condizionato delle autorizzazioni</w:t>
      </w:r>
      <w:r w:rsidR="0086745C" w:rsidRPr="003D2B2B">
        <w:rPr>
          <w:rFonts w:ascii="Garamond" w:hAnsi="Garamond"/>
          <w:szCs w:val="28"/>
        </w:rPr>
        <w:t xml:space="preserve">”; </w:t>
      </w:r>
      <w:r w:rsidR="0086745C" w:rsidRPr="003D2B2B">
        <w:rPr>
          <w:rFonts w:ascii="Garamond" w:hAnsi="Garamond"/>
          <w:szCs w:val="28"/>
          <w:u w:val="single"/>
        </w:rPr>
        <w:t>considerando (11)</w:t>
      </w:r>
      <w:r w:rsidR="0086745C" w:rsidRPr="003D2B2B">
        <w:rPr>
          <w:rFonts w:ascii="Garamond" w:hAnsi="Garamond"/>
          <w:szCs w:val="28"/>
        </w:rPr>
        <w:t xml:space="preserve"> “</w:t>
      </w:r>
      <w:r w:rsidR="0086745C" w:rsidRPr="00497351">
        <w:rPr>
          <w:rFonts w:ascii="Garamond" w:hAnsi="Garamond"/>
          <w:i/>
          <w:szCs w:val="28"/>
        </w:rPr>
        <w:t>E’ importante rafforzare la farmacovigilanza sui medicinali che hanno ricevuto un’autorizzazione all’immissione in commercio condizionata e ciò è già adeguatamente previsto dalla direttiva 2001/83/CE e dal Regolamento (CE) n. 726/2004</w:t>
      </w:r>
      <w:r w:rsidR="00497351">
        <w:rPr>
          <w:rFonts w:ascii="Garamond" w:hAnsi="Garamond"/>
          <w:szCs w:val="28"/>
        </w:rPr>
        <w:t>”</w:t>
      </w:r>
      <w:r w:rsidR="0086745C" w:rsidRPr="003D2B2B">
        <w:rPr>
          <w:rFonts w:ascii="Garamond" w:hAnsi="Garamond"/>
          <w:szCs w:val="28"/>
        </w:rPr>
        <w:t xml:space="preserve">.  </w:t>
      </w:r>
    </w:p>
    <w:p w:rsidR="004F1013" w:rsidRPr="003D2B2B" w:rsidRDefault="0086745C" w:rsidP="002E384B">
      <w:pPr>
        <w:pStyle w:val="Paragrafoelenco"/>
        <w:spacing w:line="360" w:lineRule="auto"/>
        <w:ind w:left="454" w:right="170"/>
        <w:jc w:val="both"/>
        <w:rPr>
          <w:rFonts w:ascii="Garamond" w:hAnsi="Garamond"/>
          <w:b/>
          <w:i/>
          <w:szCs w:val="28"/>
        </w:rPr>
      </w:pPr>
      <w:r w:rsidRPr="003D2B2B">
        <w:rPr>
          <w:rFonts w:ascii="Garamond" w:hAnsi="Garamond"/>
          <w:szCs w:val="28"/>
        </w:rPr>
        <w:t xml:space="preserve">E ancora. </w:t>
      </w:r>
      <w:r w:rsidR="00562845">
        <w:rPr>
          <w:rFonts w:ascii="Garamond" w:hAnsi="Garamond"/>
          <w:szCs w:val="28"/>
          <w:u w:val="single"/>
        </w:rPr>
        <w:t>l</w:t>
      </w:r>
      <w:r w:rsidRPr="003D2B2B">
        <w:rPr>
          <w:rFonts w:ascii="Garamond" w:hAnsi="Garamond"/>
          <w:szCs w:val="28"/>
          <w:u w:val="single"/>
        </w:rPr>
        <w:t>’art. 5</w:t>
      </w:r>
      <w:r w:rsidRPr="003D2B2B">
        <w:rPr>
          <w:rFonts w:ascii="Garamond" w:hAnsi="Garamond"/>
          <w:szCs w:val="28"/>
        </w:rPr>
        <w:t xml:space="preserve"> del Regolamento in commento prevede quali “</w:t>
      </w:r>
      <w:r w:rsidRPr="00562845">
        <w:rPr>
          <w:rFonts w:ascii="Garamond" w:hAnsi="Garamond"/>
          <w:i/>
          <w:szCs w:val="28"/>
        </w:rPr>
        <w:t>obblighi specifici</w:t>
      </w:r>
      <w:r w:rsidRPr="003D2B2B">
        <w:rPr>
          <w:rFonts w:ascii="Garamond" w:hAnsi="Garamond"/>
          <w:szCs w:val="28"/>
        </w:rPr>
        <w:t>” per il titolare di un’autorizzazione all’immissione in commercio condizionata “</w:t>
      </w:r>
      <w:r w:rsidRPr="003D2B2B">
        <w:rPr>
          <w:rFonts w:ascii="Garamond" w:hAnsi="Garamond"/>
          <w:i/>
          <w:szCs w:val="28"/>
        </w:rPr>
        <w:t xml:space="preserve">di completare gli studi in corso </w:t>
      </w:r>
      <w:r w:rsidR="00671BFA" w:rsidRPr="003D2B2B">
        <w:rPr>
          <w:rFonts w:ascii="Garamond" w:hAnsi="Garamond"/>
          <w:i/>
          <w:szCs w:val="28"/>
        </w:rPr>
        <w:t>o di condurre nuovi studi al fine di confermare che il rapporto rischio/beneficio è positivo e di fornire i dati.”</w:t>
      </w:r>
    </w:p>
    <w:p w:rsidR="00A220EB" w:rsidRDefault="00671BFA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Gli obblighi di cui sopra no</w:t>
      </w:r>
      <w:r w:rsidR="002E384B">
        <w:rPr>
          <w:rFonts w:ascii="Garamond" w:hAnsi="Garamond"/>
          <w:szCs w:val="28"/>
        </w:rPr>
        <w:t>n sono</w:t>
      </w:r>
      <w:r>
        <w:rPr>
          <w:rFonts w:ascii="Garamond" w:hAnsi="Garamond"/>
          <w:szCs w:val="28"/>
        </w:rPr>
        <w:t xml:space="preserve"> stati soddisfatti</w:t>
      </w:r>
      <w:r w:rsidR="00A116B7">
        <w:rPr>
          <w:rFonts w:ascii="Garamond" w:hAnsi="Garamond"/>
          <w:szCs w:val="28"/>
        </w:rPr>
        <w:t xml:space="preserve"> e, dunque, essendo questo un presupposto ind</w:t>
      </w:r>
      <w:r w:rsidR="00D32CDE">
        <w:rPr>
          <w:rFonts w:ascii="Garamond" w:hAnsi="Garamond"/>
          <w:szCs w:val="28"/>
        </w:rPr>
        <w:t>efettibile per l’autorizzazione</w:t>
      </w:r>
      <w:r w:rsidR="00A116B7">
        <w:rPr>
          <w:rFonts w:ascii="Garamond" w:hAnsi="Garamond"/>
          <w:szCs w:val="28"/>
        </w:rPr>
        <w:t xml:space="preserve"> </w:t>
      </w:r>
      <w:r w:rsidR="00A116B7" w:rsidRPr="00A116B7">
        <w:rPr>
          <w:rFonts w:ascii="Garamond" w:hAnsi="Garamond"/>
          <w:b/>
          <w:szCs w:val="28"/>
          <w:u w:val="single"/>
        </w:rPr>
        <w:t>in via condizionata</w:t>
      </w:r>
      <w:r w:rsidR="00A116B7">
        <w:rPr>
          <w:rFonts w:ascii="Garamond" w:hAnsi="Garamond"/>
          <w:szCs w:val="28"/>
        </w:rPr>
        <w:t xml:space="preserve"> della sostanza in questione</w:t>
      </w:r>
      <w:r w:rsidR="00182E98">
        <w:rPr>
          <w:rFonts w:ascii="Garamond" w:hAnsi="Garamond"/>
          <w:szCs w:val="28"/>
        </w:rPr>
        <w:t xml:space="preserve">, ai fini della conferma, dell’efficacia e </w:t>
      </w:r>
      <w:r w:rsidR="00AE22DF">
        <w:rPr>
          <w:rFonts w:ascii="Garamond" w:hAnsi="Garamond"/>
          <w:szCs w:val="28"/>
        </w:rPr>
        <w:t>della sicurezza della stessa</w:t>
      </w:r>
      <w:r w:rsidR="00182E98">
        <w:rPr>
          <w:rFonts w:ascii="Garamond" w:hAnsi="Garamond"/>
          <w:szCs w:val="28"/>
        </w:rPr>
        <w:t>,</w:t>
      </w:r>
      <w:r w:rsidR="00E06C61">
        <w:rPr>
          <w:rFonts w:ascii="Garamond" w:hAnsi="Garamond"/>
          <w:szCs w:val="28"/>
        </w:rPr>
        <w:t xml:space="preserve"> tale autorizzazione viene </w:t>
      </w:r>
      <w:proofErr w:type="gramStart"/>
      <w:r w:rsidR="00E06C61">
        <w:rPr>
          <w:rFonts w:ascii="Garamond" w:hAnsi="Garamond"/>
          <w:szCs w:val="28"/>
        </w:rPr>
        <w:t>meno;</w:t>
      </w:r>
      <w:r w:rsidR="00AA7784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  </w:t>
      </w:r>
      <w:proofErr w:type="gramEnd"/>
      <w:r>
        <w:rPr>
          <w:rFonts w:ascii="Garamond" w:hAnsi="Garamond"/>
          <w:szCs w:val="28"/>
        </w:rPr>
        <w:t xml:space="preserve">               </w:t>
      </w:r>
      <w:r w:rsidR="002E384B" w:rsidRPr="002E384B">
        <w:rPr>
          <w:rFonts w:ascii="Garamond" w:hAnsi="Garamond"/>
          <w:color w:val="00B0F0"/>
          <w:szCs w:val="28"/>
        </w:rPr>
        <w:t>(ndr)</w:t>
      </w:r>
      <w:r w:rsidR="002E384B">
        <w:rPr>
          <w:rFonts w:ascii="Garamond" w:hAnsi="Garamond"/>
          <w:szCs w:val="28"/>
        </w:rPr>
        <w:t xml:space="preserve"> </w:t>
      </w:r>
      <w:r w:rsidR="00D32CDE">
        <w:rPr>
          <w:rFonts w:ascii="Garamond" w:hAnsi="Garamond"/>
          <w:color w:val="00B0F0"/>
          <w:szCs w:val="28"/>
        </w:rPr>
        <w:t>mi pare troppo debole</w:t>
      </w:r>
      <w:r>
        <w:rPr>
          <w:rFonts w:ascii="Garamond" w:hAnsi="Garamond"/>
          <w:color w:val="00B0F0"/>
          <w:szCs w:val="28"/>
        </w:rPr>
        <w:t xml:space="preserve">…… va argomentato di più o in modo diverso. </w:t>
      </w:r>
    </w:p>
    <w:p w:rsidR="00171BBB" w:rsidRDefault="00AE22DF" w:rsidP="008F2A14">
      <w:pPr>
        <w:pStyle w:val="Paragrafoelenco"/>
        <w:numPr>
          <w:ilvl w:val="0"/>
          <w:numId w:val="1"/>
        </w:numPr>
        <w:spacing w:line="360" w:lineRule="auto"/>
        <w:ind w:left="426" w:right="170" w:hanging="57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 ulteriore importante e </w:t>
      </w:r>
      <w:r w:rsidR="00171BBB">
        <w:rPr>
          <w:rFonts w:ascii="Garamond" w:hAnsi="Garamond"/>
        </w:rPr>
        <w:t xml:space="preserve">quanto mai </w:t>
      </w:r>
      <w:r>
        <w:rPr>
          <w:rFonts w:ascii="Garamond" w:hAnsi="Garamond"/>
        </w:rPr>
        <w:t>dirimente aspetto da considerare</w:t>
      </w:r>
      <w:r w:rsidR="00171BBB">
        <w:rPr>
          <w:rFonts w:ascii="Garamond" w:hAnsi="Garamond"/>
        </w:rPr>
        <w:t xml:space="preserve"> si riferisce all’obbligo di </w:t>
      </w:r>
      <w:r>
        <w:rPr>
          <w:rFonts w:ascii="Garamond" w:hAnsi="Garamond"/>
        </w:rPr>
        <w:t>prescrizione medica alla quale dette sostanze so</w:t>
      </w:r>
      <w:r w:rsidR="00171BBB">
        <w:rPr>
          <w:rFonts w:ascii="Garamond" w:hAnsi="Garamond"/>
        </w:rPr>
        <w:t xml:space="preserve">no vincolate. </w:t>
      </w:r>
    </w:p>
    <w:p w:rsidR="00171BBB" w:rsidRDefault="00171BBB" w:rsidP="00171BBB">
      <w:pPr>
        <w:pStyle w:val="Paragrafoelenco"/>
        <w:spacing w:line="360" w:lineRule="auto"/>
        <w:ind w:left="426" w:right="17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Come ormai pacifico</w:t>
      </w:r>
      <w:r w:rsidR="007739BA">
        <w:rPr>
          <w:rFonts w:ascii="Garamond" w:hAnsi="Garamond"/>
        </w:rPr>
        <w:t>, è noto che</w:t>
      </w:r>
      <w:r>
        <w:rPr>
          <w:rFonts w:ascii="Garamond" w:hAnsi="Garamond"/>
        </w:rPr>
        <w:t xml:space="preserve"> le singole </w:t>
      </w:r>
      <w:proofErr w:type="spellStart"/>
      <w:r>
        <w:rPr>
          <w:rFonts w:ascii="Garamond" w:hAnsi="Garamond"/>
        </w:rPr>
        <w:t>determine</w:t>
      </w:r>
      <w:proofErr w:type="spellEnd"/>
      <w:r>
        <w:rPr>
          <w:rFonts w:ascii="Garamond" w:hAnsi="Garamond"/>
        </w:rPr>
        <w:t xml:space="preserve"> autorizzative all’immissione in commercio condizionata di ogni sostanza c.d. vaccino Covid-19 prevedono </w:t>
      </w:r>
      <w:r w:rsidRPr="00E57FC0">
        <w:rPr>
          <w:rFonts w:ascii="Garamond" w:hAnsi="Garamond"/>
          <w:b/>
        </w:rPr>
        <w:t>quale condizione di utilizzo la prescrizione medica</w:t>
      </w:r>
      <w:r>
        <w:rPr>
          <w:rFonts w:ascii="Garamond" w:hAnsi="Garamond"/>
        </w:rPr>
        <w:t xml:space="preserve">. </w:t>
      </w:r>
    </w:p>
    <w:p w:rsidR="00171BBB" w:rsidRDefault="007739BA" w:rsidP="00171BBB">
      <w:pPr>
        <w:pStyle w:val="Paragrafoelenco"/>
        <w:spacing w:line="360" w:lineRule="auto"/>
        <w:ind w:left="426" w:right="1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titolo esemplificativo: </w:t>
      </w:r>
      <w:r w:rsidR="00171BBB">
        <w:rPr>
          <w:rFonts w:ascii="Garamond" w:hAnsi="Garamond"/>
        </w:rPr>
        <w:t xml:space="preserve">nel </w:t>
      </w:r>
      <w:r w:rsidR="00171BBB" w:rsidRPr="003D2B2B">
        <w:rPr>
          <w:rFonts w:ascii="Garamond" w:hAnsi="Garamond"/>
        </w:rPr>
        <w:t>registro dell’UE dei medicinali per uso umano è possibile consultare l’autorizzazione n. UE/1/20/1528 (decisione n. 9598 del 21.12.2020) rilasciata dalla Commissione Europea a seguito di indicazioni dell’EMA n. EMEA/H/C/005735/0000 per l</w:t>
      </w:r>
      <w:r w:rsidR="00350F6D">
        <w:rPr>
          <w:rFonts w:ascii="Garamond" w:hAnsi="Garamond"/>
        </w:rPr>
        <w:t xml:space="preserve">a somministrazione del farmaco </w:t>
      </w:r>
      <w:proofErr w:type="spellStart"/>
      <w:r w:rsidR="00350F6D">
        <w:rPr>
          <w:rFonts w:ascii="Garamond" w:hAnsi="Garamond"/>
        </w:rPr>
        <w:t>T</w:t>
      </w:r>
      <w:r w:rsidR="00171BBB" w:rsidRPr="003D2B2B">
        <w:rPr>
          <w:rFonts w:ascii="Garamond" w:hAnsi="Garamond"/>
        </w:rPr>
        <w:t>ozinameran</w:t>
      </w:r>
      <w:proofErr w:type="spellEnd"/>
      <w:r w:rsidR="00171BBB" w:rsidRPr="003D2B2B">
        <w:rPr>
          <w:rFonts w:ascii="Garamond" w:hAnsi="Garamond"/>
        </w:rPr>
        <w:t xml:space="preserve">, vaccino </w:t>
      </w:r>
      <w:proofErr w:type="spellStart"/>
      <w:r w:rsidR="00171BBB" w:rsidRPr="003D2B2B">
        <w:rPr>
          <w:rFonts w:ascii="Garamond" w:hAnsi="Garamond"/>
        </w:rPr>
        <w:t>mRNA</w:t>
      </w:r>
      <w:proofErr w:type="spellEnd"/>
      <w:r w:rsidR="00171BBB" w:rsidRPr="003D2B2B">
        <w:rPr>
          <w:rFonts w:ascii="Garamond" w:hAnsi="Garamond"/>
        </w:rPr>
        <w:t xml:space="preserve"> Covid-19 denominato </w:t>
      </w:r>
      <w:proofErr w:type="spellStart"/>
      <w:r w:rsidR="00171BBB" w:rsidRPr="003D2B2B">
        <w:rPr>
          <w:rFonts w:ascii="Garamond" w:hAnsi="Garamond"/>
        </w:rPr>
        <w:t>Cominarty</w:t>
      </w:r>
      <w:proofErr w:type="spellEnd"/>
      <w:r w:rsidR="00171BBB" w:rsidRPr="003D2B2B">
        <w:rPr>
          <w:rFonts w:ascii="Garamond" w:hAnsi="Garamond"/>
        </w:rPr>
        <w:t xml:space="preserve"> prodotto da </w:t>
      </w:r>
      <w:proofErr w:type="spellStart"/>
      <w:r w:rsidR="00171BBB" w:rsidRPr="003D2B2B">
        <w:rPr>
          <w:rFonts w:ascii="Garamond" w:hAnsi="Garamond"/>
        </w:rPr>
        <w:t>BioNTech</w:t>
      </w:r>
      <w:proofErr w:type="spellEnd"/>
      <w:r w:rsidR="00171BBB" w:rsidRPr="003D2B2B">
        <w:rPr>
          <w:rFonts w:ascii="Garamond" w:hAnsi="Garamond"/>
        </w:rPr>
        <w:t xml:space="preserve"> e distribuito da Pfizer. Nell’allegato II comma B “</w:t>
      </w:r>
      <w:r w:rsidR="00171BBB" w:rsidRPr="00E83A4D">
        <w:rPr>
          <w:rFonts w:ascii="Garamond" w:hAnsi="Garamond"/>
          <w:i/>
        </w:rPr>
        <w:t>Condizioni o limitazioni di fornitura e utilizzo</w:t>
      </w:r>
      <w:r w:rsidR="00350F6D">
        <w:rPr>
          <w:rFonts w:ascii="Garamond" w:hAnsi="Garamond"/>
        </w:rPr>
        <w:t>”</w:t>
      </w:r>
      <w:r w:rsidR="00E83A4D">
        <w:rPr>
          <w:rFonts w:ascii="Garamond" w:hAnsi="Garamond"/>
        </w:rPr>
        <w:t xml:space="preserve"> (</w:t>
      </w:r>
      <w:r w:rsidR="00171BBB" w:rsidRPr="003D2B2B">
        <w:rPr>
          <w:rFonts w:ascii="Garamond" w:hAnsi="Garamond"/>
        </w:rPr>
        <w:t>pag. 17</w:t>
      </w:r>
      <w:r w:rsidR="007B5CCC">
        <w:rPr>
          <w:rFonts w:ascii="Garamond" w:hAnsi="Garamond"/>
        </w:rPr>
        <w:t xml:space="preserve">, </w:t>
      </w:r>
      <w:proofErr w:type="spellStart"/>
      <w:r w:rsidR="007B5CCC">
        <w:rPr>
          <w:rFonts w:ascii="Garamond" w:hAnsi="Garamond"/>
        </w:rPr>
        <w:t>all</w:t>
      </w:r>
      <w:proofErr w:type="spellEnd"/>
      <w:r w:rsidR="007B5CCC">
        <w:rPr>
          <w:rFonts w:ascii="Garamond" w:hAnsi="Garamond"/>
        </w:rPr>
        <w:t>. 1</w:t>
      </w:r>
      <w:r w:rsidR="00171BBB" w:rsidRPr="003D2B2B">
        <w:rPr>
          <w:rFonts w:ascii="Garamond" w:hAnsi="Garamond"/>
        </w:rPr>
        <w:t>) si legge: “</w:t>
      </w:r>
      <w:r w:rsidR="00171BBB" w:rsidRPr="0020716E">
        <w:rPr>
          <w:rFonts w:ascii="Garamond" w:hAnsi="Garamond"/>
          <w:b/>
        </w:rPr>
        <w:t>medicinale soggetto a prescrizione medica</w:t>
      </w:r>
      <w:r w:rsidR="00171BBB" w:rsidRPr="003D2B2B">
        <w:rPr>
          <w:rFonts w:ascii="Garamond" w:hAnsi="Garamond"/>
        </w:rPr>
        <w:t xml:space="preserve">”. </w:t>
      </w:r>
    </w:p>
    <w:p w:rsidR="0020716E" w:rsidRDefault="00171BBB" w:rsidP="00171BBB">
      <w:pPr>
        <w:pStyle w:val="Paragrafoelenco"/>
        <w:spacing w:line="360" w:lineRule="auto"/>
        <w:ind w:left="426" w:right="1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veda link </w:t>
      </w:r>
      <w:hyperlink r:id="rId8" w:history="1">
        <w:r w:rsidR="008F2A14" w:rsidRPr="003D2B2B">
          <w:rPr>
            <w:rStyle w:val="Collegamentoipertestuale"/>
            <w:rFonts w:ascii="Garamond" w:hAnsi="Garamond"/>
            <w:color w:val="auto"/>
          </w:rPr>
          <w:t>https://ec.europa.eu/health/documents/community-register/html/h1528.htm</w:t>
        </w:r>
      </w:hyperlink>
      <w:r w:rsidR="008F2A14" w:rsidRPr="003D2B2B">
        <w:rPr>
          <w:rFonts w:ascii="Garamond" w:hAnsi="Garamond"/>
        </w:rPr>
        <w:t xml:space="preserve"> </w:t>
      </w:r>
    </w:p>
    <w:p w:rsidR="008F2A14" w:rsidRDefault="007739BA" w:rsidP="0020716E">
      <w:pPr>
        <w:pStyle w:val="Paragrafoelenco"/>
        <w:spacing w:line="360" w:lineRule="auto"/>
        <w:ind w:left="426" w:right="170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171BBB">
        <w:rPr>
          <w:rFonts w:ascii="Garamond" w:hAnsi="Garamond"/>
        </w:rPr>
        <w:t xml:space="preserve"> ancora. </w:t>
      </w:r>
      <w:r w:rsidR="003D2B2B" w:rsidRPr="003D2B2B">
        <w:rPr>
          <w:rFonts w:ascii="Garamond" w:hAnsi="Garamond"/>
        </w:rPr>
        <w:t xml:space="preserve">Con nota del 24.12.2020 </w:t>
      </w:r>
      <w:proofErr w:type="spellStart"/>
      <w:r w:rsidR="003D2B2B" w:rsidRPr="003D2B2B">
        <w:rPr>
          <w:rFonts w:ascii="Garamond" w:hAnsi="Garamond"/>
        </w:rPr>
        <w:t>prot</w:t>
      </w:r>
      <w:proofErr w:type="spellEnd"/>
      <w:r w:rsidR="003D2B2B" w:rsidRPr="003D2B2B">
        <w:rPr>
          <w:rFonts w:ascii="Garamond" w:hAnsi="Garamond"/>
        </w:rPr>
        <w:t>. n. 0</w:t>
      </w:r>
      <w:r w:rsidR="0020716E">
        <w:rPr>
          <w:rFonts w:ascii="Garamond" w:hAnsi="Garamond"/>
        </w:rPr>
        <w:t>042164 il Ministero della Salute</w:t>
      </w:r>
      <w:r w:rsidR="00C60583">
        <w:rPr>
          <w:rFonts w:ascii="Garamond" w:hAnsi="Garamond"/>
        </w:rPr>
        <w:t xml:space="preserve">, in relazione alle </w:t>
      </w:r>
      <w:r w:rsidR="003D2B2B" w:rsidRPr="003D2B2B">
        <w:rPr>
          <w:rFonts w:ascii="Garamond" w:hAnsi="Garamond"/>
        </w:rPr>
        <w:t>raccomandazioni per l’organizzazione della campagna vaccinale</w:t>
      </w:r>
      <w:r w:rsidR="00C60583">
        <w:rPr>
          <w:rFonts w:ascii="Garamond" w:hAnsi="Garamond"/>
        </w:rPr>
        <w:t>, si conferma</w:t>
      </w:r>
      <w:r w:rsidR="003D2B2B" w:rsidRPr="003D2B2B">
        <w:rPr>
          <w:rFonts w:ascii="Garamond" w:hAnsi="Garamond"/>
        </w:rPr>
        <w:t xml:space="preserve"> che </w:t>
      </w:r>
      <w:proofErr w:type="spellStart"/>
      <w:r w:rsidR="003D2B2B" w:rsidRPr="003D2B2B">
        <w:rPr>
          <w:rFonts w:ascii="Garamond" w:hAnsi="Garamond"/>
        </w:rPr>
        <w:t>Cominarty</w:t>
      </w:r>
      <w:proofErr w:type="spellEnd"/>
      <w:r w:rsidR="003D2B2B" w:rsidRPr="003D2B2B">
        <w:rPr>
          <w:rFonts w:ascii="Garamond" w:hAnsi="Garamond"/>
        </w:rPr>
        <w:t xml:space="preserve"> è un farmaco a </w:t>
      </w:r>
      <w:r w:rsidR="003D2B2B" w:rsidRPr="00C60583">
        <w:rPr>
          <w:rFonts w:ascii="Garamond" w:hAnsi="Garamond"/>
          <w:b/>
        </w:rPr>
        <w:t>prescrizione medica</w:t>
      </w:r>
      <w:r w:rsidR="00C60583" w:rsidRPr="00C60583">
        <w:rPr>
          <w:rFonts w:ascii="Garamond" w:hAnsi="Garamond"/>
          <w:b/>
        </w:rPr>
        <w:t xml:space="preserve"> obbligatoria</w:t>
      </w:r>
      <w:r w:rsidR="00C60583">
        <w:rPr>
          <w:rFonts w:ascii="Garamond" w:hAnsi="Garamond"/>
          <w:b/>
        </w:rPr>
        <w:t>.</w:t>
      </w:r>
    </w:p>
    <w:p w:rsidR="003D2B2B" w:rsidRDefault="00171BBB" w:rsidP="003D2B2B">
      <w:pPr>
        <w:pStyle w:val="Paragrafoelenco"/>
        <w:numPr>
          <w:ilvl w:val="0"/>
          <w:numId w:val="1"/>
        </w:numPr>
        <w:spacing w:line="360" w:lineRule="auto"/>
        <w:ind w:left="426" w:right="170" w:hanging="577"/>
        <w:jc w:val="both"/>
        <w:rPr>
          <w:rFonts w:ascii="Garamond" w:hAnsi="Garamond"/>
        </w:rPr>
      </w:pPr>
      <w:r w:rsidRPr="00171BBB">
        <w:rPr>
          <w:rFonts w:ascii="Garamond" w:hAnsi="Garamond"/>
        </w:rPr>
        <w:t xml:space="preserve">Tale previsione di obbligo alla prescrizione è stata anche recentemente </w:t>
      </w:r>
      <w:r w:rsidR="007739BA" w:rsidRPr="00171BBB">
        <w:rPr>
          <w:rFonts w:ascii="Garamond" w:hAnsi="Garamond"/>
        </w:rPr>
        <w:t xml:space="preserve">confermata </w:t>
      </w:r>
      <w:r w:rsidRPr="00171BBB">
        <w:rPr>
          <w:rFonts w:ascii="Garamond" w:hAnsi="Garamond"/>
        </w:rPr>
        <w:t xml:space="preserve">da </w:t>
      </w:r>
      <w:r w:rsidR="003D2B2B" w:rsidRPr="00171BBB">
        <w:rPr>
          <w:rFonts w:ascii="Garamond" w:hAnsi="Garamond"/>
        </w:rPr>
        <w:t>AIFA con nota n. 0147737 del 17.12.2021, in risposta alle numerose richieste di ostensione della prescrizione medica formulate da persone assoggettate ad imposizione vaccinale ex DL 44/21 e ex DL 172/2021</w:t>
      </w:r>
      <w:r w:rsidRPr="00171BBB">
        <w:rPr>
          <w:rFonts w:ascii="Garamond" w:hAnsi="Garamond"/>
        </w:rPr>
        <w:t xml:space="preserve">. In tale nota, AIFA, </w:t>
      </w:r>
      <w:r w:rsidR="003D2B2B" w:rsidRPr="00171BBB">
        <w:rPr>
          <w:rFonts w:ascii="Garamond" w:hAnsi="Garamond"/>
        </w:rPr>
        <w:t>ha affermato che “</w:t>
      </w:r>
      <w:r w:rsidR="00C60583" w:rsidRPr="00A37BFA">
        <w:rPr>
          <w:rFonts w:ascii="Garamond" w:hAnsi="Garamond"/>
          <w:b/>
          <w:i/>
        </w:rPr>
        <w:t>i vaccini autorizzati all’immissione in commercio per il trattamento dell’epidemia da Covid-19 sono medicinali soggetti a prescrizione medica limitativa (RRL)</w:t>
      </w:r>
      <w:r w:rsidRPr="00171BBB">
        <w:rPr>
          <w:rFonts w:ascii="Garamond" w:hAnsi="Garamond"/>
        </w:rPr>
        <w:t xml:space="preserve">”; nella stessa nota </w:t>
      </w:r>
      <w:r w:rsidR="00C14D61">
        <w:rPr>
          <w:rFonts w:ascii="Garamond" w:hAnsi="Garamond"/>
        </w:rPr>
        <w:t xml:space="preserve">viene </w:t>
      </w:r>
      <w:r w:rsidRPr="00171BBB">
        <w:rPr>
          <w:rFonts w:ascii="Garamond" w:hAnsi="Garamond"/>
        </w:rPr>
        <w:t xml:space="preserve">spiegato che </w:t>
      </w:r>
      <w:r w:rsidR="00C60583" w:rsidRPr="00171BBB">
        <w:rPr>
          <w:rFonts w:ascii="Garamond" w:hAnsi="Garamond"/>
        </w:rPr>
        <w:t xml:space="preserve">la </w:t>
      </w:r>
      <w:r w:rsidR="003D2B2B" w:rsidRPr="00171BBB">
        <w:rPr>
          <w:rFonts w:ascii="Garamond" w:hAnsi="Garamond"/>
        </w:rPr>
        <w:t xml:space="preserve">condizione (RRL) è </w:t>
      </w:r>
      <w:r w:rsidR="00C14D61">
        <w:rPr>
          <w:rFonts w:ascii="Garamond" w:hAnsi="Garamond"/>
        </w:rPr>
        <w:t>“</w:t>
      </w:r>
      <w:r w:rsidR="003D2B2B" w:rsidRPr="00526BCE">
        <w:rPr>
          <w:rFonts w:ascii="Garamond" w:hAnsi="Garamond"/>
          <w:i/>
        </w:rPr>
        <w:t>riferita al solo impiego dei vaccini presso le strutture vaccinali e la loro distribuzione è effettuata dalla Struttura Commissariale</w:t>
      </w:r>
      <w:r w:rsidR="003D2B2B" w:rsidRPr="00171BBB">
        <w:rPr>
          <w:rFonts w:ascii="Garamond" w:hAnsi="Garamond"/>
        </w:rPr>
        <w:t>”</w:t>
      </w:r>
      <w:r w:rsidR="00444CB3" w:rsidRPr="00171BBB">
        <w:rPr>
          <w:rFonts w:ascii="Garamond" w:hAnsi="Garamond"/>
        </w:rPr>
        <w:t>.</w:t>
      </w:r>
    </w:p>
    <w:p w:rsidR="00526BCE" w:rsidRDefault="00526BCE" w:rsidP="003D2B2B">
      <w:pPr>
        <w:pStyle w:val="Paragrafoelenco"/>
        <w:numPr>
          <w:ilvl w:val="0"/>
          <w:numId w:val="1"/>
        </w:numPr>
        <w:spacing w:line="360" w:lineRule="auto"/>
        <w:ind w:left="426" w:right="170" w:hanging="577"/>
        <w:jc w:val="both"/>
        <w:rPr>
          <w:rFonts w:ascii="Garamond" w:hAnsi="Garamond"/>
        </w:rPr>
      </w:pPr>
      <w:r>
        <w:rPr>
          <w:rFonts w:ascii="Garamond" w:hAnsi="Garamond"/>
        </w:rPr>
        <w:t>Vieppiù, il requisito della prescrizione viene confermato sempre dalla stessa Pfizer, nel “</w:t>
      </w:r>
      <w:r w:rsidRPr="00526BCE">
        <w:rPr>
          <w:rFonts w:ascii="Garamond" w:hAnsi="Garamond"/>
          <w:i/>
        </w:rPr>
        <w:t>Riassunto delle caratteristiche tecniche del prodotto</w:t>
      </w:r>
      <w:r>
        <w:rPr>
          <w:rFonts w:ascii="Garamond" w:hAnsi="Garamond"/>
        </w:rPr>
        <w:t xml:space="preserve">” </w:t>
      </w:r>
      <w:proofErr w:type="spellStart"/>
      <w:r w:rsidRPr="00526BCE">
        <w:rPr>
          <w:rFonts w:ascii="Garamond" w:hAnsi="Garamond"/>
          <w:i/>
        </w:rPr>
        <w:t>supra</w:t>
      </w:r>
      <w:proofErr w:type="spellEnd"/>
      <w:r>
        <w:rPr>
          <w:rFonts w:ascii="Garamond" w:hAnsi="Garamond"/>
        </w:rPr>
        <w:t xml:space="preserve"> richiamato, nell’Allegato II, punto B. pag. 17, alla voce “</w:t>
      </w:r>
      <w:r w:rsidRPr="00526BCE">
        <w:rPr>
          <w:rFonts w:ascii="Garamond" w:hAnsi="Garamond"/>
          <w:i/>
        </w:rPr>
        <w:t>Condizioni o limitazioni di fornitura e utilizzo</w:t>
      </w:r>
      <w:r>
        <w:rPr>
          <w:rFonts w:ascii="Garamond" w:hAnsi="Garamond"/>
        </w:rPr>
        <w:t>”, che statuisce che il “</w:t>
      </w:r>
      <w:r w:rsidRPr="00526BCE">
        <w:rPr>
          <w:rFonts w:ascii="Garamond" w:hAnsi="Garamond"/>
          <w:b/>
          <w:i/>
        </w:rPr>
        <w:t>Medicinale</w:t>
      </w:r>
      <w:r w:rsidRPr="00526BCE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(è) </w:t>
      </w:r>
      <w:r w:rsidRPr="00526BCE">
        <w:rPr>
          <w:rFonts w:ascii="Garamond" w:hAnsi="Garamond"/>
          <w:b/>
          <w:i/>
        </w:rPr>
        <w:t>soggetto a prescrizione medica</w:t>
      </w:r>
      <w:r>
        <w:rPr>
          <w:rFonts w:ascii="Garamond" w:hAnsi="Garamond"/>
        </w:rPr>
        <w:t xml:space="preserve">”, e ribadito nella Comunicazione n. 60 </w:t>
      </w:r>
      <w:proofErr w:type="spellStart"/>
      <w:r>
        <w:rPr>
          <w:rFonts w:ascii="Garamond" w:hAnsi="Garamond"/>
        </w:rPr>
        <w:t>FNOMCeO</w:t>
      </w:r>
      <w:proofErr w:type="spellEnd"/>
      <w:r>
        <w:rPr>
          <w:rFonts w:ascii="Garamond" w:hAnsi="Garamond"/>
        </w:rPr>
        <w:t xml:space="preserve"> del</w:t>
      </w:r>
      <w:r w:rsidR="00A41ABD">
        <w:rPr>
          <w:rFonts w:ascii="Garamond" w:hAnsi="Garamond"/>
        </w:rPr>
        <w:t xml:space="preserve"> </w:t>
      </w:r>
      <w:r>
        <w:rPr>
          <w:rFonts w:ascii="Garamond" w:hAnsi="Garamond"/>
        </w:rPr>
        <w:t>22.03.2021, a firma del suo Presidente Dott. Filippo Anelli (“</w:t>
      </w:r>
      <w:r w:rsidRPr="007B5CCC">
        <w:rPr>
          <w:rFonts w:ascii="Garamond" w:hAnsi="Garamond"/>
          <w:b/>
          <w:i/>
        </w:rPr>
        <w:t xml:space="preserve">La </w:t>
      </w:r>
      <w:proofErr w:type="spellStart"/>
      <w:r w:rsidRPr="007B5CCC">
        <w:rPr>
          <w:rFonts w:ascii="Garamond" w:hAnsi="Garamond"/>
          <w:b/>
          <w:i/>
        </w:rPr>
        <w:t>FNOMCeO</w:t>
      </w:r>
      <w:proofErr w:type="spellEnd"/>
      <w:r w:rsidRPr="007B5CCC">
        <w:rPr>
          <w:rFonts w:ascii="Garamond" w:hAnsi="Garamond"/>
          <w:b/>
          <w:i/>
        </w:rPr>
        <w:t xml:space="preserve"> ritiene imprescindibile riporre la massima attenzione alla tutela della salute dei pazienti nel caso di possibili complicazioni derivanti</w:t>
      </w:r>
      <w:r w:rsidR="007B5CCC" w:rsidRPr="007B5CCC">
        <w:rPr>
          <w:rFonts w:ascii="Garamond" w:hAnsi="Garamond"/>
          <w:b/>
          <w:i/>
        </w:rPr>
        <w:t xml:space="preserve"> dallo svolgimento di tale attività di vaccinazione. Pertanto si evidenzia che tale attività sanitaria, </w:t>
      </w:r>
      <w:r w:rsidR="007B5CCC" w:rsidRPr="007B5CCC">
        <w:rPr>
          <w:rFonts w:ascii="Garamond" w:hAnsi="Garamond"/>
          <w:b/>
          <w:i/>
          <w:u w:val="single"/>
        </w:rPr>
        <w:t>comportando un potenziale rischio per la sicurezza del paziente</w:t>
      </w:r>
      <w:r w:rsidR="007B5CCC" w:rsidRPr="007B5CCC">
        <w:rPr>
          <w:rFonts w:ascii="Garamond" w:hAnsi="Garamond"/>
          <w:b/>
          <w:i/>
        </w:rPr>
        <w:t xml:space="preserve"> – tanto che il medicinale è soggetto a prescrizione medica limitativa RRL – dovrebbe essere necessariamente svolta sotto la supervisione e alla presenza del </w:t>
      </w:r>
      <w:proofErr w:type="gramStart"/>
      <w:r w:rsidR="007B5CCC" w:rsidRPr="007B5CCC">
        <w:rPr>
          <w:rFonts w:ascii="Garamond" w:hAnsi="Garamond"/>
          <w:b/>
          <w:i/>
        </w:rPr>
        <w:t>medico</w:t>
      </w:r>
      <w:r w:rsidR="007B5CCC">
        <w:rPr>
          <w:rFonts w:ascii="Garamond" w:hAnsi="Garamond"/>
        </w:rPr>
        <w:t>”</w:t>
      </w:r>
      <w:r w:rsidR="00685A7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 xml:space="preserve">                          (pag. 4, penultimo </w:t>
      </w:r>
      <w:proofErr w:type="spellStart"/>
      <w:r>
        <w:rPr>
          <w:rFonts w:ascii="Garamond" w:hAnsi="Garamond"/>
        </w:rPr>
        <w:t>cpv</w:t>
      </w:r>
      <w:proofErr w:type="spellEnd"/>
      <w:r w:rsidR="007B5CCC">
        <w:rPr>
          <w:rFonts w:ascii="Garamond" w:hAnsi="Garamond"/>
        </w:rPr>
        <w:t xml:space="preserve">, </w:t>
      </w:r>
      <w:proofErr w:type="spellStart"/>
      <w:r w:rsidR="007B5CCC">
        <w:rPr>
          <w:rFonts w:ascii="Garamond" w:hAnsi="Garamond"/>
        </w:rPr>
        <w:t>all</w:t>
      </w:r>
      <w:proofErr w:type="spellEnd"/>
      <w:r w:rsidR="007B5CCC">
        <w:rPr>
          <w:rFonts w:ascii="Garamond" w:hAnsi="Garamond"/>
        </w:rPr>
        <w:t>. 2</w:t>
      </w:r>
      <w:r>
        <w:rPr>
          <w:rFonts w:ascii="Garamond" w:hAnsi="Garamond"/>
        </w:rPr>
        <w:t>)</w:t>
      </w:r>
    </w:p>
    <w:p w:rsidR="00C14D61" w:rsidRPr="00171BBB" w:rsidRDefault="00C14D61" w:rsidP="00C14D61">
      <w:pPr>
        <w:pStyle w:val="Paragrafoelenco"/>
        <w:spacing w:line="360" w:lineRule="auto"/>
        <w:ind w:left="426" w:right="170"/>
        <w:jc w:val="both"/>
        <w:rPr>
          <w:rFonts w:ascii="Garamond" w:hAnsi="Garamond"/>
        </w:rPr>
      </w:pPr>
      <w:r>
        <w:rPr>
          <w:rFonts w:ascii="Garamond" w:hAnsi="Garamond"/>
        </w:rPr>
        <w:t>Con ciò</w:t>
      </w:r>
      <w:r w:rsidR="007739BA">
        <w:rPr>
          <w:rFonts w:ascii="Garamond" w:hAnsi="Garamond"/>
        </w:rPr>
        <w:t xml:space="preserve"> di fatto </w:t>
      </w:r>
      <w:r>
        <w:rPr>
          <w:rFonts w:ascii="Garamond" w:hAnsi="Garamond"/>
        </w:rPr>
        <w:t>riconoscendo che l’obbligo di prescrizione medica per la somministrazione dei vaccini è stato sistematicamente disatteso a far data dal 27/12/2020.</w:t>
      </w:r>
    </w:p>
    <w:p w:rsidR="00B04A65" w:rsidRDefault="00BD5578" w:rsidP="00FA6B5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DB55B2">
        <w:rPr>
          <w:rFonts w:ascii="Garamond" w:hAnsi="Garamond"/>
          <w:szCs w:val="28"/>
        </w:rPr>
        <w:t xml:space="preserve">Per tutte le ragioni </w:t>
      </w:r>
      <w:proofErr w:type="spellStart"/>
      <w:r w:rsidRPr="00DB55B2">
        <w:rPr>
          <w:rFonts w:ascii="Garamond" w:hAnsi="Garamond"/>
          <w:szCs w:val="28"/>
        </w:rPr>
        <w:t>s</w:t>
      </w:r>
      <w:r w:rsidRPr="00DB55B2">
        <w:rPr>
          <w:rFonts w:ascii="Garamond" w:hAnsi="Garamond"/>
          <w:i/>
          <w:szCs w:val="28"/>
        </w:rPr>
        <w:t>upra</w:t>
      </w:r>
      <w:proofErr w:type="spellEnd"/>
      <w:r w:rsidRPr="00DB55B2">
        <w:rPr>
          <w:rFonts w:ascii="Garamond" w:hAnsi="Garamond"/>
          <w:szCs w:val="28"/>
        </w:rPr>
        <w:t xml:space="preserve"> esposte</w:t>
      </w:r>
      <w:r w:rsidR="00083332" w:rsidRPr="00DB55B2">
        <w:rPr>
          <w:rFonts w:ascii="Garamond" w:hAnsi="Garamond"/>
          <w:szCs w:val="28"/>
        </w:rPr>
        <w:t xml:space="preserve">, </w:t>
      </w:r>
      <w:r w:rsidR="007739BA">
        <w:rPr>
          <w:rFonts w:ascii="Garamond" w:hAnsi="Garamond"/>
          <w:szCs w:val="28"/>
        </w:rPr>
        <w:t xml:space="preserve">risulta </w:t>
      </w:r>
      <w:r w:rsidR="00083332" w:rsidRPr="00DB55B2">
        <w:rPr>
          <w:rFonts w:ascii="Garamond" w:hAnsi="Garamond"/>
          <w:szCs w:val="28"/>
        </w:rPr>
        <w:t xml:space="preserve">incontrovertibile che ciò </w:t>
      </w:r>
      <w:r w:rsidR="00922F1E" w:rsidRPr="00DB55B2">
        <w:rPr>
          <w:rFonts w:ascii="Garamond" w:hAnsi="Garamond"/>
          <w:szCs w:val="28"/>
        </w:rPr>
        <w:t xml:space="preserve">che viene inoculato </w:t>
      </w:r>
      <w:r w:rsidR="00E04BFE" w:rsidRPr="00DB55B2">
        <w:rPr>
          <w:rFonts w:ascii="Garamond" w:hAnsi="Garamond"/>
          <w:szCs w:val="28"/>
        </w:rPr>
        <w:t xml:space="preserve">sia </w:t>
      </w:r>
      <w:r w:rsidR="00922F1E" w:rsidRPr="00DB55B2">
        <w:rPr>
          <w:rFonts w:ascii="Garamond" w:hAnsi="Garamond"/>
          <w:szCs w:val="28"/>
        </w:rPr>
        <w:t>un siero sperimentale</w:t>
      </w:r>
      <w:r w:rsidR="00874411">
        <w:rPr>
          <w:rFonts w:ascii="Garamond" w:hAnsi="Garamond"/>
          <w:strike/>
          <w:szCs w:val="28"/>
        </w:rPr>
        <w:t>,</w:t>
      </w:r>
      <w:r w:rsidR="00E04BFE" w:rsidRPr="00DB55B2">
        <w:rPr>
          <w:rFonts w:ascii="Garamond" w:hAnsi="Garamond"/>
          <w:szCs w:val="28"/>
        </w:rPr>
        <w:t xml:space="preserve"> con tutte le ricadute in termini </w:t>
      </w:r>
      <w:r w:rsidR="00FA244A" w:rsidRPr="00DB55B2">
        <w:rPr>
          <w:rFonts w:ascii="Garamond" w:hAnsi="Garamond"/>
          <w:szCs w:val="28"/>
        </w:rPr>
        <w:t xml:space="preserve">di normativa applicabile sulla </w:t>
      </w:r>
      <w:r w:rsidR="00FA244A" w:rsidRPr="00DB55B2">
        <w:rPr>
          <w:rFonts w:ascii="Garamond" w:hAnsi="Garamond"/>
        </w:rPr>
        <w:t xml:space="preserve">sperimentazione clinica dei medicinali e </w:t>
      </w:r>
      <w:r w:rsidR="00E04BFE" w:rsidRPr="00DB55B2">
        <w:rPr>
          <w:rFonts w:ascii="Garamond" w:hAnsi="Garamond"/>
          <w:szCs w:val="28"/>
        </w:rPr>
        <w:t xml:space="preserve">di consenso </w:t>
      </w:r>
      <w:r w:rsidR="00DE2761" w:rsidRPr="00DB55B2">
        <w:rPr>
          <w:rFonts w:ascii="Garamond" w:hAnsi="Garamond"/>
          <w:szCs w:val="28"/>
        </w:rPr>
        <w:t xml:space="preserve">libero ed </w:t>
      </w:r>
      <w:r w:rsidR="00E04BFE" w:rsidRPr="00DB55B2">
        <w:rPr>
          <w:rFonts w:ascii="Garamond" w:hAnsi="Garamond"/>
          <w:szCs w:val="28"/>
        </w:rPr>
        <w:t>informato</w:t>
      </w:r>
      <w:r w:rsidR="00FA244A" w:rsidRPr="00DB55B2">
        <w:rPr>
          <w:rFonts w:ascii="Garamond" w:hAnsi="Garamond"/>
          <w:szCs w:val="28"/>
        </w:rPr>
        <w:t>.</w:t>
      </w:r>
      <w:r w:rsidR="002B18FA" w:rsidRPr="00DB55B2">
        <w:rPr>
          <w:rFonts w:ascii="Garamond" w:hAnsi="Garamond"/>
          <w:szCs w:val="28"/>
        </w:rPr>
        <w:t xml:space="preserve"> </w:t>
      </w:r>
    </w:p>
    <w:p w:rsidR="00B04A65" w:rsidRDefault="002B18FA" w:rsidP="00B04A65">
      <w:pPr>
        <w:pStyle w:val="Paragrafoelenco"/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DB55B2">
        <w:rPr>
          <w:rFonts w:ascii="Garamond" w:hAnsi="Garamond"/>
          <w:szCs w:val="28"/>
        </w:rPr>
        <w:t>A tal proposito appare opportuno ricordare le parole dello st</w:t>
      </w:r>
      <w:r w:rsidR="00A41ABD">
        <w:rPr>
          <w:rFonts w:ascii="Garamond" w:hAnsi="Garamond"/>
          <w:szCs w:val="28"/>
        </w:rPr>
        <w:t xml:space="preserve">esso Presidente della </w:t>
      </w:r>
      <w:proofErr w:type="spellStart"/>
      <w:r w:rsidR="00A41ABD">
        <w:rPr>
          <w:rFonts w:ascii="Garamond" w:hAnsi="Garamond"/>
          <w:szCs w:val="28"/>
        </w:rPr>
        <w:t>Fnomceo</w:t>
      </w:r>
      <w:proofErr w:type="spellEnd"/>
      <w:r w:rsidR="00A41ABD">
        <w:rPr>
          <w:rFonts w:ascii="Garamond" w:hAnsi="Garamond"/>
          <w:szCs w:val="28"/>
        </w:rPr>
        <w:t>, D</w:t>
      </w:r>
      <w:r w:rsidRPr="00DB55B2">
        <w:rPr>
          <w:rFonts w:ascii="Garamond" w:hAnsi="Garamond"/>
          <w:szCs w:val="28"/>
        </w:rPr>
        <w:t xml:space="preserve">ott. Filippo Anelli, contenute nella </w:t>
      </w:r>
      <w:r w:rsidR="00A41ABD">
        <w:rPr>
          <w:rFonts w:ascii="Garamond" w:hAnsi="Garamond"/>
          <w:szCs w:val="28"/>
        </w:rPr>
        <w:t xml:space="preserve">succitata </w:t>
      </w:r>
      <w:r w:rsidRPr="00DB55B2">
        <w:rPr>
          <w:rFonts w:ascii="Garamond" w:hAnsi="Garamond"/>
          <w:szCs w:val="28"/>
        </w:rPr>
        <w:t xml:space="preserve">Comunicazione n. 60 inviata in data 23.03.2021 ai Presidenti </w:t>
      </w:r>
      <w:r w:rsidRPr="00DB55B2">
        <w:rPr>
          <w:rFonts w:ascii="Garamond" w:hAnsi="Garamond"/>
          <w:szCs w:val="28"/>
        </w:rPr>
        <w:lastRenderedPageBreak/>
        <w:t xml:space="preserve">degli </w:t>
      </w:r>
      <w:proofErr w:type="spellStart"/>
      <w:r w:rsidRPr="00DB55B2">
        <w:rPr>
          <w:rFonts w:ascii="Garamond" w:hAnsi="Garamond"/>
          <w:szCs w:val="28"/>
        </w:rPr>
        <w:t>Omceo</w:t>
      </w:r>
      <w:proofErr w:type="spellEnd"/>
      <w:r w:rsidRPr="00DB55B2">
        <w:rPr>
          <w:rFonts w:ascii="Garamond" w:hAnsi="Garamond"/>
          <w:szCs w:val="28"/>
        </w:rPr>
        <w:t xml:space="preserve"> e delle </w:t>
      </w:r>
      <w:proofErr w:type="spellStart"/>
      <w:r w:rsidRPr="00DB55B2">
        <w:rPr>
          <w:rFonts w:ascii="Garamond" w:hAnsi="Garamond"/>
          <w:szCs w:val="28"/>
        </w:rPr>
        <w:t>Cao</w:t>
      </w:r>
      <w:proofErr w:type="spellEnd"/>
      <w:r w:rsidR="00605383" w:rsidRPr="00DB55B2">
        <w:rPr>
          <w:rFonts w:ascii="Garamond" w:hAnsi="Garamond"/>
          <w:szCs w:val="28"/>
        </w:rPr>
        <w:t>. N</w:t>
      </w:r>
      <w:r w:rsidRPr="00DB55B2">
        <w:rPr>
          <w:rFonts w:ascii="Garamond" w:hAnsi="Garamond"/>
          <w:szCs w:val="28"/>
        </w:rPr>
        <w:t>ota a commento del DL “</w:t>
      </w:r>
      <w:r w:rsidRPr="00A41ABD">
        <w:rPr>
          <w:rFonts w:ascii="Garamond" w:hAnsi="Garamond"/>
          <w:i/>
          <w:szCs w:val="28"/>
        </w:rPr>
        <w:t>Sostegni</w:t>
      </w:r>
      <w:r w:rsidRPr="00DB55B2">
        <w:rPr>
          <w:rFonts w:ascii="Garamond" w:hAnsi="Garamond"/>
          <w:szCs w:val="28"/>
        </w:rPr>
        <w:t>” nella quale</w:t>
      </w:r>
      <w:r w:rsidR="00605383" w:rsidRPr="00DB55B2">
        <w:rPr>
          <w:rFonts w:ascii="Garamond" w:hAnsi="Garamond"/>
          <w:szCs w:val="28"/>
        </w:rPr>
        <w:t xml:space="preserve"> vengono </w:t>
      </w:r>
      <w:r w:rsidR="00605383" w:rsidRPr="00A41ABD">
        <w:rPr>
          <w:rFonts w:ascii="Garamond" w:hAnsi="Garamond"/>
          <w:b/>
          <w:szCs w:val="28"/>
          <w:u w:val="single"/>
        </w:rPr>
        <w:t xml:space="preserve">espresse tutte </w:t>
      </w:r>
      <w:r w:rsidRPr="00A41ABD">
        <w:rPr>
          <w:rFonts w:ascii="Garamond" w:hAnsi="Garamond"/>
          <w:b/>
          <w:szCs w:val="28"/>
          <w:u w:val="single"/>
        </w:rPr>
        <w:t>le perplessità della Federazione in relazione alla previsione che la somministrazione dei vaccini potesse avvenire nelle farmacie ad opera del farmacista</w:t>
      </w:r>
      <w:r w:rsidRPr="00DB55B2">
        <w:rPr>
          <w:rFonts w:ascii="Garamond" w:hAnsi="Garamond"/>
          <w:szCs w:val="28"/>
        </w:rPr>
        <w:t>.</w:t>
      </w:r>
      <w:r w:rsidR="00605383" w:rsidRPr="00DB55B2">
        <w:rPr>
          <w:rFonts w:ascii="Garamond" w:hAnsi="Garamond"/>
          <w:szCs w:val="28"/>
        </w:rPr>
        <w:t xml:space="preserve"> </w:t>
      </w:r>
      <w:r w:rsidRPr="00DB55B2">
        <w:rPr>
          <w:rFonts w:ascii="Garamond" w:hAnsi="Garamond"/>
          <w:szCs w:val="28"/>
        </w:rPr>
        <w:t xml:space="preserve"> </w:t>
      </w:r>
      <w:r w:rsidR="00A50419">
        <w:rPr>
          <w:rFonts w:ascii="Garamond" w:hAnsi="Garamond"/>
          <w:szCs w:val="28"/>
        </w:rPr>
        <w:t xml:space="preserve">In relazione a </w:t>
      </w:r>
      <w:r w:rsidR="00605383" w:rsidRPr="00DB55B2">
        <w:rPr>
          <w:rFonts w:ascii="Garamond" w:hAnsi="Garamond"/>
          <w:szCs w:val="28"/>
        </w:rPr>
        <w:t>ciò il Presidente Anelli, ricorda come in tema di consenso libero ed informato</w:t>
      </w:r>
      <w:r w:rsidR="00FA6B54">
        <w:rPr>
          <w:rFonts w:ascii="Garamond" w:hAnsi="Garamond"/>
          <w:szCs w:val="28"/>
        </w:rPr>
        <w:t xml:space="preserve">, l’acquisizione dello stesso sia per legge </w:t>
      </w:r>
      <w:r w:rsidR="00FA6B54" w:rsidRPr="00A23979">
        <w:rPr>
          <w:rFonts w:ascii="Garamond" w:hAnsi="Garamond"/>
          <w:b/>
          <w:szCs w:val="28"/>
        </w:rPr>
        <w:t xml:space="preserve">un atto di esclusiva competenza del medico in quanto unico soggetto deputato all’anamnesi e alla valutazione dello stato di salute del paziente </w:t>
      </w:r>
      <w:r w:rsidR="00A50419" w:rsidRPr="00A23979">
        <w:rPr>
          <w:rFonts w:ascii="Garamond" w:hAnsi="Garamond"/>
          <w:b/>
          <w:szCs w:val="28"/>
        </w:rPr>
        <w:t>e quindi unico soggetto legittimato a trasmettere correttamente l’informazione finalizzata alla raccolta del consenso riguardo ai benefici e ai rischi di un trattamento sanitario</w:t>
      </w:r>
      <w:r w:rsidR="00A50419">
        <w:rPr>
          <w:rFonts w:ascii="Garamond" w:hAnsi="Garamond"/>
          <w:szCs w:val="28"/>
        </w:rPr>
        <w:t xml:space="preserve">. </w:t>
      </w:r>
      <w:r w:rsidR="00F83E62">
        <w:rPr>
          <w:rFonts w:ascii="Garamond" w:hAnsi="Garamond"/>
          <w:szCs w:val="28"/>
        </w:rPr>
        <w:t xml:space="preserve">La disciplina giuridica riposa nella Legge n. 219/2017 che stabilisce, in particolare all’articolo 1, </w:t>
      </w:r>
      <w:r w:rsidR="00F83E62" w:rsidRPr="00E82CF9">
        <w:rPr>
          <w:rFonts w:ascii="Garamond" w:hAnsi="Garamond"/>
          <w:b/>
          <w:szCs w:val="28"/>
        </w:rPr>
        <w:t>principi cardine</w:t>
      </w:r>
      <w:r w:rsidR="00F83E62">
        <w:rPr>
          <w:rFonts w:ascii="Garamond" w:hAnsi="Garamond"/>
          <w:szCs w:val="28"/>
        </w:rPr>
        <w:t xml:space="preserve"> che</w:t>
      </w:r>
      <w:r w:rsidR="00B04A65">
        <w:rPr>
          <w:rFonts w:ascii="Garamond" w:hAnsi="Garamond"/>
          <w:szCs w:val="28"/>
        </w:rPr>
        <w:t xml:space="preserve">, come riconosciuto dallo stesso Presidente Anelli, </w:t>
      </w:r>
      <w:r w:rsidR="00F83E62" w:rsidRPr="00E82CF9">
        <w:rPr>
          <w:rFonts w:ascii="Garamond" w:hAnsi="Garamond"/>
          <w:b/>
          <w:szCs w:val="28"/>
        </w:rPr>
        <w:t>non possono essere abdicati nemmeno nella fase emer</w:t>
      </w:r>
      <w:r w:rsidR="00B04A65" w:rsidRPr="00E82CF9">
        <w:rPr>
          <w:rFonts w:ascii="Garamond" w:hAnsi="Garamond"/>
          <w:b/>
          <w:szCs w:val="28"/>
        </w:rPr>
        <w:t>genziale della pandemia</w:t>
      </w:r>
      <w:r w:rsidR="00B04A65">
        <w:rPr>
          <w:rFonts w:ascii="Garamond" w:hAnsi="Garamond"/>
          <w:szCs w:val="28"/>
        </w:rPr>
        <w:t xml:space="preserve"> (pag. 3</w:t>
      </w:r>
      <w:r w:rsidR="00E82CF9">
        <w:rPr>
          <w:rFonts w:ascii="Garamond" w:hAnsi="Garamond"/>
          <w:szCs w:val="28"/>
        </w:rPr>
        <w:t xml:space="preserve">, </w:t>
      </w:r>
      <w:proofErr w:type="spellStart"/>
      <w:r w:rsidR="00E82CF9">
        <w:rPr>
          <w:rFonts w:ascii="Garamond" w:hAnsi="Garamond"/>
          <w:szCs w:val="28"/>
        </w:rPr>
        <w:t>all</w:t>
      </w:r>
      <w:proofErr w:type="spellEnd"/>
      <w:r w:rsidR="00E82CF9">
        <w:rPr>
          <w:rFonts w:ascii="Garamond" w:hAnsi="Garamond"/>
          <w:szCs w:val="28"/>
        </w:rPr>
        <w:t>. 2</w:t>
      </w:r>
      <w:r w:rsidR="00F83E62">
        <w:rPr>
          <w:rFonts w:ascii="Garamond" w:hAnsi="Garamond"/>
          <w:szCs w:val="28"/>
        </w:rPr>
        <w:t xml:space="preserve">). </w:t>
      </w:r>
    </w:p>
    <w:p w:rsidR="00B04A65" w:rsidRDefault="00F83E62" w:rsidP="00B04A65">
      <w:pPr>
        <w:pStyle w:val="Paragrafoelenco"/>
        <w:spacing w:line="360" w:lineRule="auto"/>
        <w:ind w:left="454"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E an</w:t>
      </w:r>
      <w:r w:rsidR="00B04A65">
        <w:rPr>
          <w:rFonts w:ascii="Garamond" w:hAnsi="Garamond"/>
          <w:szCs w:val="28"/>
        </w:rPr>
        <w:t xml:space="preserve">cora. La Federazione, </w:t>
      </w:r>
      <w:r w:rsidR="002D5180">
        <w:rPr>
          <w:rFonts w:ascii="Garamond" w:hAnsi="Garamond"/>
          <w:szCs w:val="28"/>
        </w:rPr>
        <w:t xml:space="preserve">riconosce che questa determinata attività sanitaria dovrebbe essere necessariamente svolta sotto la supervisione e alla presenza del medico atteso che può comportare un potenziale rischio per la sicurezza del paziente   </w:t>
      </w:r>
      <w:r w:rsidR="002D5180" w:rsidRPr="00B04A65">
        <w:rPr>
          <w:rFonts w:ascii="Garamond" w:hAnsi="Garamond"/>
          <w:szCs w:val="28"/>
        </w:rPr>
        <w:t>– tanto che il medicinale è soggetto a presc</w:t>
      </w:r>
      <w:r w:rsidR="002E02CA">
        <w:rPr>
          <w:rFonts w:ascii="Garamond" w:hAnsi="Garamond"/>
          <w:szCs w:val="28"/>
        </w:rPr>
        <w:t>rizione medica limitativa (RRL), sigla che, come riporta correttamente l’</w:t>
      </w:r>
      <w:proofErr w:type="spellStart"/>
      <w:r w:rsidR="002E02CA">
        <w:rPr>
          <w:rFonts w:ascii="Garamond" w:hAnsi="Garamond"/>
          <w:szCs w:val="28"/>
        </w:rPr>
        <w:t>Aifa</w:t>
      </w:r>
      <w:proofErr w:type="spellEnd"/>
      <w:r w:rsidR="002E02CA">
        <w:rPr>
          <w:rFonts w:ascii="Garamond" w:hAnsi="Garamond"/>
          <w:szCs w:val="28"/>
        </w:rPr>
        <w:t>, indica “</w:t>
      </w:r>
      <w:r w:rsidR="002E02CA" w:rsidRPr="004E76FB">
        <w:rPr>
          <w:rFonts w:ascii="Garamond" w:hAnsi="Garamond"/>
          <w:i/>
          <w:szCs w:val="28"/>
        </w:rPr>
        <w:t>Medicinali soggetti a prescrizione medica limitativa di centri ospedalieri o di specialisti</w:t>
      </w:r>
      <w:r w:rsidR="002E02CA">
        <w:rPr>
          <w:rFonts w:ascii="Garamond" w:hAnsi="Garamond"/>
          <w:szCs w:val="28"/>
        </w:rPr>
        <w:t>”, quando, invece, l’inoculazione del siero avviene ad opera di medici anche generici, o comunque privi della specializzazione richiesta</w:t>
      </w:r>
      <w:r w:rsidR="009225EC">
        <w:rPr>
          <w:rFonts w:ascii="Garamond" w:hAnsi="Garamond"/>
          <w:szCs w:val="28"/>
        </w:rPr>
        <w:t xml:space="preserve">, se non da soggetti che non rivestono nemmeno tale qualifica, quali i </w:t>
      </w:r>
      <w:proofErr w:type="spellStart"/>
      <w:r w:rsidR="009225EC">
        <w:rPr>
          <w:rFonts w:ascii="Garamond" w:hAnsi="Garamond"/>
          <w:szCs w:val="28"/>
        </w:rPr>
        <w:t>suevocati</w:t>
      </w:r>
      <w:proofErr w:type="spellEnd"/>
      <w:r w:rsidR="009225EC">
        <w:rPr>
          <w:rFonts w:ascii="Garamond" w:hAnsi="Garamond"/>
          <w:szCs w:val="28"/>
        </w:rPr>
        <w:t xml:space="preserve"> farmacisti </w:t>
      </w:r>
      <w:r w:rsidR="002D5180">
        <w:rPr>
          <w:rFonts w:ascii="Garamond" w:hAnsi="Garamond"/>
          <w:szCs w:val="28"/>
        </w:rPr>
        <w:t>(pag. 4).</w:t>
      </w:r>
      <w:r w:rsidR="007739BA">
        <w:rPr>
          <w:rFonts w:ascii="Garamond" w:hAnsi="Garamond"/>
          <w:szCs w:val="28"/>
        </w:rPr>
        <w:t xml:space="preserve"> </w:t>
      </w:r>
    </w:p>
    <w:p w:rsidR="00F55C31" w:rsidRPr="00E057A7" w:rsidRDefault="00F55C31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E057A7">
        <w:rPr>
          <w:rFonts w:ascii="Garamond" w:hAnsi="Garamond"/>
          <w:szCs w:val="28"/>
        </w:rPr>
        <w:t>Il consenso</w:t>
      </w:r>
      <w:r w:rsidRPr="00E057A7">
        <w:rPr>
          <w:rFonts w:ascii="Garamond" w:hAnsi="Garamond"/>
          <w:b/>
          <w:szCs w:val="28"/>
          <w:u w:val="single"/>
        </w:rPr>
        <w:t xml:space="preserve"> libero ed informato</w:t>
      </w:r>
      <w:r w:rsidRPr="002E02CA">
        <w:rPr>
          <w:rFonts w:ascii="Garamond" w:hAnsi="Garamond"/>
          <w:szCs w:val="28"/>
        </w:rPr>
        <w:t xml:space="preserve">, </w:t>
      </w:r>
      <w:r w:rsidR="00DB31E9" w:rsidRPr="002E02CA">
        <w:rPr>
          <w:rFonts w:ascii="Garamond" w:hAnsi="Garamond"/>
          <w:szCs w:val="28"/>
        </w:rPr>
        <w:t>inteso come</w:t>
      </w:r>
      <w:r w:rsidR="00DB31E9" w:rsidRPr="00E057A7">
        <w:rPr>
          <w:rFonts w:ascii="Garamond" w:hAnsi="Garamond"/>
          <w:color w:val="00B0F0"/>
          <w:szCs w:val="28"/>
        </w:rPr>
        <w:t xml:space="preserve"> </w:t>
      </w:r>
      <w:r w:rsidRPr="00E057A7">
        <w:rPr>
          <w:rFonts w:ascii="Garamond" w:hAnsi="Garamond"/>
          <w:szCs w:val="28"/>
        </w:rPr>
        <w:t xml:space="preserve">manifestazione del più </w:t>
      </w:r>
      <w:r w:rsidRPr="00D110DB">
        <w:rPr>
          <w:rFonts w:ascii="Garamond" w:hAnsi="Garamond"/>
          <w:b/>
          <w:szCs w:val="28"/>
          <w:u w:val="single"/>
        </w:rPr>
        <w:t>ampio principio di autodeterminazione</w:t>
      </w:r>
      <w:r w:rsidRPr="00E057A7">
        <w:rPr>
          <w:rFonts w:ascii="Garamond" w:hAnsi="Garamond"/>
          <w:szCs w:val="28"/>
        </w:rPr>
        <w:t xml:space="preserve"> di ogni individuo ad esprimere una volontà che non sia, in alcun modo, viziata da </w:t>
      </w:r>
      <w:r w:rsidRPr="00E057A7">
        <w:rPr>
          <w:rFonts w:ascii="Garamond" w:hAnsi="Garamond"/>
          <w:b/>
          <w:szCs w:val="28"/>
          <w:u w:val="single"/>
        </w:rPr>
        <w:t xml:space="preserve">frode, inganno, minaccia e </w:t>
      </w:r>
      <w:r w:rsidRPr="002E02CA">
        <w:rPr>
          <w:rFonts w:ascii="Garamond" w:hAnsi="Garamond"/>
          <w:b/>
          <w:szCs w:val="28"/>
          <w:u w:val="single"/>
        </w:rPr>
        <w:t>ricatto</w:t>
      </w:r>
      <w:r w:rsidR="00DB31E9" w:rsidRPr="002E02CA">
        <w:rPr>
          <w:rFonts w:ascii="Garamond" w:hAnsi="Garamond"/>
          <w:szCs w:val="28"/>
        </w:rPr>
        <w:t xml:space="preserve"> è riconosciuto e affermato </w:t>
      </w:r>
      <w:r w:rsidR="005C1F12" w:rsidRPr="002E02CA">
        <w:rPr>
          <w:rFonts w:ascii="Garamond" w:hAnsi="Garamond"/>
          <w:szCs w:val="28"/>
        </w:rPr>
        <w:t>non solo dalla normativa nazionale ma anche da norme comunitarie e internazionali derivanti da Trattati e Convenzioni cui l’Italia ha a</w:t>
      </w:r>
      <w:r w:rsidR="00E057A7" w:rsidRPr="002E02CA">
        <w:rPr>
          <w:rFonts w:ascii="Garamond" w:hAnsi="Garamond"/>
          <w:szCs w:val="28"/>
        </w:rPr>
        <w:t>derito e che sono stati recepiti</w:t>
      </w:r>
      <w:r w:rsidR="005C1F12" w:rsidRPr="002E02CA">
        <w:rPr>
          <w:rFonts w:ascii="Garamond" w:hAnsi="Garamond"/>
          <w:szCs w:val="28"/>
        </w:rPr>
        <w:t xml:space="preserve"> nel nostro ordinamento giuridico.</w:t>
      </w:r>
      <w:r w:rsidR="005C1F12" w:rsidRPr="00E057A7">
        <w:rPr>
          <w:rFonts w:ascii="Garamond" w:hAnsi="Garamond"/>
          <w:color w:val="00B0F0"/>
          <w:szCs w:val="28"/>
        </w:rPr>
        <w:t xml:space="preserve"> </w:t>
      </w:r>
      <w:r w:rsidR="00E057A7" w:rsidRPr="00E057A7">
        <w:rPr>
          <w:rFonts w:ascii="Garamond" w:hAnsi="Garamond"/>
          <w:szCs w:val="28"/>
        </w:rPr>
        <w:t xml:space="preserve">Si ritiene doveroso ricordare: il </w:t>
      </w:r>
      <w:r w:rsidRPr="004866EA">
        <w:rPr>
          <w:rFonts w:ascii="Garamond" w:hAnsi="Garamond"/>
          <w:b/>
          <w:szCs w:val="28"/>
        </w:rPr>
        <w:t xml:space="preserve">Codice di </w:t>
      </w:r>
      <w:r w:rsidR="005C1F12" w:rsidRPr="004866EA">
        <w:rPr>
          <w:rFonts w:ascii="Garamond" w:hAnsi="Garamond"/>
          <w:b/>
          <w:szCs w:val="28"/>
        </w:rPr>
        <w:t xml:space="preserve">Bioetica sulla sperimentazione umana </w:t>
      </w:r>
      <w:r w:rsidR="00E057A7" w:rsidRPr="004866EA">
        <w:rPr>
          <w:rFonts w:ascii="Garamond" w:hAnsi="Garamond"/>
          <w:b/>
          <w:szCs w:val="28"/>
        </w:rPr>
        <w:t xml:space="preserve">di </w:t>
      </w:r>
      <w:r w:rsidRPr="004866EA">
        <w:rPr>
          <w:rFonts w:ascii="Garamond" w:hAnsi="Garamond"/>
          <w:b/>
          <w:szCs w:val="28"/>
        </w:rPr>
        <w:t xml:space="preserve">Norimberga </w:t>
      </w:r>
      <w:r w:rsidR="005C1F12" w:rsidRPr="004866EA">
        <w:rPr>
          <w:rFonts w:ascii="Garamond" w:hAnsi="Garamond"/>
          <w:b/>
          <w:szCs w:val="28"/>
        </w:rPr>
        <w:t>del</w:t>
      </w:r>
      <w:r w:rsidR="005C1F12" w:rsidRPr="00E057A7">
        <w:rPr>
          <w:rFonts w:ascii="Garamond" w:hAnsi="Garamond"/>
          <w:szCs w:val="28"/>
        </w:rPr>
        <w:t xml:space="preserve"> </w:t>
      </w:r>
      <w:r w:rsidR="005C1F12" w:rsidRPr="004866EA">
        <w:rPr>
          <w:rFonts w:ascii="Garamond" w:hAnsi="Garamond"/>
          <w:b/>
          <w:szCs w:val="28"/>
        </w:rPr>
        <w:t>1947</w:t>
      </w:r>
      <w:r w:rsidR="005C1F12" w:rsidRPr="00E057A7">
        <w:rPr>
          <w:rFonts w:ascii="Garamond" w:hAnsi="Garamond"/>
          <w:szCs w:val="28"/>
        </w:rPr>
        <w:t xml:space="preserve"> </w:t>
      </w:r>
      <w:r w:rsidRPr="00E057A7">
        <w:rPr>
          <w:rFonts w:ascii="Garamond" w:hAnsi="Garamond"/>
          <w:szCs w:val="28"/>
        </w:rPr>
        <w:t xml:space="preserve">e, successivamente, dalla </w:t>
      </w:r>
      <w:r w:rsidRPr="004866EA">
        <w:rPr>
          <w:rFonts w:ascii="Garamond" w:hAnsi="Garamond"/>
          <w:b/>
          <w:szCs w:val="28"/>
        </w:rPr>
        <w:t>Dichiarazione di Helsinki della W</w:t>
      </w:r>
      <w:r w:rsidR="005C1F12" w:rsidRPr="004866EA">
        <w:rPr>
          <w:rFonts w:ascii="Garamond" w:hAnsi="Garamond"/>
          <w:b/>
          <w:szCs w:val="28"/>
        </w:rPr>
        <w:t xml:space="preserve">orld </w:t>
      </w:r>
      <w:proofErr w:type="spellStart"/>
      <w:r w:rsidR="005C1F12" w:rsidRPr="004866EA">
        <w:rPr>
          <w:rFonts w:ascii="Garamond" w:hAnsi="Garamond"/>
          <w:b/>
          <w:szCs w:val="28"/>
        </w:rPr>
        <w:t>Medical</w:t>
      </w:r>
      <w:proofErr w:type="spellEnd"/>
      <w:r w:rsidR="005C1F12" w:rsidRPr="004866EA">
        <w:rPr>
          <w:rFonts w:ascii="Garamond" w:hAnsi="Garamond"/>
          <w:b/>
          <w:szCs w:val="28"/>
        </w:rPr>
        <w:t xml:space="preserve"> </w:t>
      </w:r>
      <w:proofErr w:type="spellStart"/>
      <w:r w:rsidR="005C1F12" w:rsidRPr="004866EA">
        <w:rPr>
          <w:rFonts w:ascii="Garamond" w:hAnsi="Garamond"/>
          <w:b/>
          <w:szCs w:val="28"/>
        </w:rPr>
        <w:t>Association</w:t>
      </w:r>
      <w:proofErr w:type="spellEnd"/>
      <w:r w:rsidR="004866EA">
        <w:rPr>
          <w:rFonts w:ascii="Garamond" w:hAnsi="Garamond"/>
          <w:szCs w:val="28"/>
        </w:rPr>
        <w:t xml:space="preserve">; </w:t>
      </w:r>
      <w:r w:rsidRPr="00E057A7">
        <w:rPr>
          <w:rFonts w:ascii="Garamond" w:hAnsi="Garamond"/>
          <w:szCs w:val="28"/>
        </w:rPr>
        <w:t xml:space="preserve">la </w:t>
      </w:r>
      <w:r w:rsidRPr="00E057A7">
        <w:rPr>
          <w:rFonts w:ascii="Garamond" w:hAnsi="Garamond"/>
          <w:b/>
          <w:szCs w:val="28"/>
          <w:u w:val="single"/>
        </w:rPr>
        <w:t>Convenzione sui diritti dell’uomo e sulla biomedicina, firmata ad Oviedo il 4 aprile 1997</w:t>
      </w:r>
      <w:r w:rsidRPr="00E057A7">
        <w:rPr>
          <w:rFonts w:ascii="Garamond" w:hAnsi="Garamond"/>
          <w:szCs w:val="28"/>
        </w:rPr>
        <w:t xml:space="preserve"> e ratificata in Italia con la L 28 marzo 2001, n. 145, ha ribadito che «</w:t>
      </w:r>
      <w:r w:rsidRPr="00E057A7">
        <w:rPr>
          <w:rFonts w:ascii="Garamond" w:hAnsi="Garamond"/>
          <w:b/>
          <w:i/>
          <w:szCs w:val="28"/>
        </w:rPr>
        <w:t xml:space="preserve">un trattamento sanitario può essere praticato solo se la persona interessata abbia prestato </w:t>
      </w:r>
      <w:r w:rsidRPr="00747FC2">
        <w:rPr>
          <w:rFonts w:ascii="Garamond" w:hAnsi="Garamond"/>
          <w:b/>
          <w:i/>
          <w:szCs w:val="28"/>
          <w:u w:val="single"/>
        </w:rPr>
        <w:t>il proprio consenso libero ed informato</w:t>
      </w:r>
      <w:r w:rsidRPr="00E057A7">
        <w:rPr>
          <w:rFonts w:ascii="Garamond" w:hAnsi="Garamond"/>
          <w:szCs w:val="28"/>
        </w:rPr>
        <w:t>» (art. 5);</w:t>
      </w:r>
      <w:r w:rsidR="00E057A7" w:rsidRPr="00E057A7">
        <w:rPr>
          <w:rFonts w:ascii="Garamond" w:hAnsi="Garamond"/>
          <w:szCs w:val="28"/>
        </w:rPr>
        <w:t xml:space="preserve"> </w:t>
      </w:r>
      <w:r w:rsidRPr="00E057A7">
        <w:rPr>
          <w:rFonts w:ascii="Garamond" w:hAnsi="Garamond"/>
          <w:szCs w:val="28"/>
        </w:rPr>
        <w:t xml:space="preserve">la </w:t>
      </w:r>
      <w:r w:rsidRPr="00E057A7">
        <w:rPr>
          <w:rFonts w:ascii="Garamond" w:hAnsi="Garamond"/>
          <w:b/>
          <w:szCs w:val="28"/>
          <w:u w:val="single"/>
        </w:rPr>
        <w:t>Carta dei diritti fondamentali dell’Unione europea proclamata a Nizza il 7 dicembre 2000</w:t>
      </w:r>
      <w:r w:rsidRPr="00E057A7">
        <w:rPr>
          <w:rFonts w:ascii="Garamond" w:hAnsi="Garamond"/>
          <w:szCs w:val="28"/>
        </w:rPr>
        <w:t>, all’art. 3 ha stabilito che «</w:t>
      </w:r>
      <w:r w:rsidRPr="00E057A7">
        <w:rPr>
          <w:rFonts w:ascii="Garamond" w:hAnsi="Garamond"/>
          <w:b/>
          <w:i/>
          <w:szCs w:val="28"/>
        </w:rPr>
        <w:t>ogni individuo ha diritto alla propria integrità fisica e psichica</w:t>
      </w:r>
      <w:r w:rsidRPr="00E057A7">
        <w:rPr>
          <w:rFonts w:ascii="Garamond" w:hAnsi="Garamond"/>
          <w:szCs w:val="28"/>
        </w:rPr>
        <w:t>» la quale si esplica, nell’ambito della medicina e della biologia, attraverso «</w:t>
      </w:r>
      <w:r w:rsidRPr="00E057A7">
        <w:rPr>
          <w:rFonts w:ascii="Garamond" w:hAnsi="Garamond"/>
          <w:b/>
          <w:i/>
          <w:szCs w:val="28"/>
        </w:rPr>
        <w:t>il consenso libero e informato della persona interessata</w:t>
      </w:r>
      <w:r w:rsidRPr="00E057A7">
        <w:rPr>
          <w:rFonts w:ascii="Garamond" w:hAnsi="Garamond"/>
          <w:szCs w:val="28"/>
        </w:rPr>
        <w:t>» a sottoporsi ad un determinato trattamento sanitario;</w:t>
      </w:r>
    </w:p>
    <w:p w:rsidR="00DB31E9" w:rsidRDefault="00E057A7" w:rsidP="00BC71C4">
      <w:pPr>
        <w:pStyle w:val="Paragrafoelenco"/>
        <w:spacing w:line="360" w:lineRule="auto"/>
        <w:ind w:left="454" w:right="170"/>
        <w:jc w:val="both"/>
        <w:rPr>
          <w:rFonts w:ascii="Garamond" w:hAnsi="Garamond"/>
          <w:i/>
        </w:rPr>
      </w:pPr>
      <w:r>
        <w:rPr>
          <w:rFonts w:ascii="Garamond" w:hAnsi="Garamond"/>
          <w:szCs w:val="28"/>
        </w:rPr>
        <w:t xml:space="preserve">In ambito nazionale: il </w:t>
      </w:r>
      <w:r w:rsidR="00F55C31" w:rsidRPr="002B2D38">
        <w:rPr>
          <w:rFonts w:ascii="Garamond" w:hAnsi="Garamond"/>
          <w:szCs w:val="28"/>
        </w:rPr>
        <w:t xml:space="preserve">Codice di deontologia medica </w:t>
      </w:r>
      <w:r w:rsidR="00612134">
        <w:rPr>
          <w:rFonts w:ascii="Garamond" w:hAnsi="Garamond"/>
          <w:szCs w:val="28"/>
        </w:rPr>
        <w:t>del 2014 il quale, all’art. 35 stabilisce che “</w:t>
      </w:r>
      <w:r w:rsidR="00612134" w:rsidRPr="007F3A38">
        <w:rPr>
          <w:rFonts w:ascii="Garamond" w:hAnsi="Garamond"/>
          <w:b/>
          <w:i/>
        </w:rPr>
        <w:t>L’ acquisizione del consenso o del dissenso è un atto di specifica ed esclusiva competenza del medico, non delegabile</w:t>
      </w:r>
      <w:r w:rsidR="00612134" w:rsidRPr="007F3A38">
        <w:rPr>
          <w:rFonts w:ascii="Garamond" w:hAnsi="Garamond"/>
          <w:i/>
        </w:rPr>
        <w:t xml:space="preserve">. </w:t>
      </w:r>
      <w:r w:rsidR="00612134" w:rsidRPr="007F3A38">
        <w:rPr>
          <w:rFonts w:ascii="Garamond" w:hAnsi="Garamond"/>
          <w:b/>
          <w:i/>
        </w:rPr>
        <w:t>Il medico non intraprende né prosegue in procedure diagnostiche e/o interventi terapeutici senza la preliminare acquisizione del consenso informato o in presenza di dissenso informato</w:t>
      </w:r>
      <w:r w:rsidR="00612134" w:rsidRPr="007F3A38">
        <w:rPr>
          <w:rFonts w:ascii="Garamond" w:hAnsi="Garamond"/>
          <w:i/>
        </w:rPr>
        <w:t xml:space="preserve">. Il medico acquisisce, in forma scritta e sottoscritta o con altre modalità di pari efficacia documentale, il consenso o il dissenso del paziente, nei casi previsti dall’ordinamento e dal Codice e in quelli </w:t>
      </w:r>
      <w:r w:rsidR="00612134" w:rsidRPr="007F3A38">
        <w:rPr>
          <w:rFonts w:ascii="Garamond" w:hAnsi="Garamond"/>
          <w:i/>
        </w:rPr>
        <w:lastRenderedPageBreak/>
        <w:t>prevedibilmente gravati da elevato rischio di mortalità o da esiti che incidano in modo rileva</w:t>
      </w:r>
      <w:r w:rsidR="00612134">
        <w:rPr>
          <w:rFonts w:ascii="Garamond" w:hAnsi="Garamond"/>
          <w:i/>
        </w:rPr>
        <w:t xml:space="preserve">nte sull’integrità psico-fisica”, </w:t>
      </w:r>
    </w:p>
    <w:p w:rsidR="00F55C31" w:rsidRPr="00C97BF1" w:rsidRDefault="00E057A7" w:rsidP="00C97BF1">
      <w:pPr>
        <w:pStyle w:val="Paragrafoelenco"/>
        <w:spacing w:line="360" w:lineRule="auto"/>
        <w:ind w:left="454" w:right="170"/>
        <w:jc w:val="both"/>
        <w:rPr>
          <w:rFonts w:ascii="Garamond" w:hAnsi="Garamond"/>
        </w:rPr>
      </w:pPr>
      <w:r w:rsidRPr="00747FC2">
        <w:rPr>
          <w:rFonts w:ascii="Garamond" w:hAnsi="Garamond"/>
        </w:rPr>
        <w:t>Risulta di tut</w:t>
      </w:r>
      <w:r w:rsidR="00747FC2">
        <w:rPr>
          <w:rFonts w:ascii="Garamond" w:hAnsi="Garamond"/>
        </w:rPr>
        <w:t>t</w:t>
      </w:r>
      <w:r w:rsidRPr="00747FC2">
        <w:rPr>
          <w:rFonts w:ascii="Garamond" w:hAnsi="Garamond"/>
        </w:rPr>
        <w:t xml:space="preserve">a evidenza come le </w:t>
      </w:r>
      <w:r w:rsidR="00E4747C" w:rsidRPr="00747FC2">
        <w:rPr>
          <w:rFonts w:ascii="Garamond" w:hAnsi="Garamond"/>
        </w:rPr>
        <w:t xml:space="preserve">disposizioni di cui all’articolo </w:t>
      </w:r>
      <w:r w:rsidR="00DB31E9" w:rsidRPr="00747FC2">
        <w:rPr>
          <w:rFonts w:ascii="Garamond" w:hAnsi="Garamond"/>
        </w:rPr>
        <w:t>appena richiamato</w:t>
      </w:r>
      <w:r w:rsidR="00DB31E9">
        <w:rPr>
          <w:rFonts w:ascii="Garamond" w:hAnsi="Garamond"/>
          <w:color w:val="00B0F0"/>
        </w:rPr>
        <w:t xml:space="preserve"> </w:t>
      </w:r>
      <w:r w:rsidR="00612134">
        <w:rPr>
          <w:rFonts w:ascii="Garamond" w:hAnsi="Garamond"/>
        </w:rPr>
        <w:t>venga</w:t>
      </w:r>
      <w:r w:rsidR="00E4747C">
        <w:rPr>
          <w:rFonts w:ascii="Garamond" w:hAnsi="Garamond"/>
        </w:rPr>
        <w:t>no sistematicamente violate</w:t>
      </w:r>
      <w:r w:rsidR="00612134">
        <w:rPr>
          <w:rFonts w:ascii="Garamond" w:hAnsi="Garamond"/>
        </w:rPr>
        <w:t xml:space="preserve"> giacché il consenso viene delegato dal medico di base al medico “</w:t>
      </w:r>
      <w:r w:rsidR="00612134" w:rsidRPr="00A427C8">
        <w:rPr>
          <w:rFonts w:ascii="Garamond" w:hAnsi="Garamond"/>
          <w:i/>
        </w:rPr>
        <w:t>vaccinatore</w:t>
      </w:r>
      <w:r w:rsidR="00612134">
        <w:rPr>
          <w:rFonts w:ascii="Garamond" w:hAnsi="Garamond"/>
        </w:rPr>
        <w:t>”, il quale non ha mai visto, prima di allora il soggetto</w:t>
      </w:r>
      <w:r>
        <w:rPr>
          <w:rFonts w:ascii="Garamond" w:hAnsi="Garamond"/>
        </w:rPr>
        <w:t xml:space="preserve"> </w:t>
      </w:r>
      <w:r w:rsidRPr="00747FC2">
        <w:rPr>
          <w:rFonts w:ascii="Garamond" w:hAnsi="Garamond"/>
        </w:rPr>
        <w:t>che si appresta alla somministrazione</w:t>
      </w:r>
      <w:r w:rsidR="00612134">
        <w:rPr>
          <w:rFonts w:ascii="Garamond" w:hAnsi="Garamond"/>
        </w:rPr>
        <w:t xml:space="preserve">, e dunque non </w:t>
      </w:r>
      <w:r w:rsidRPr="00747FC2">
        <w:rPr>
          <w:rFonts w:ascii="Garamond" w:hAnsi="Garamond"/>
        </w:rPr>
        <w:t>può avere</w:t>
      </w:r>
      <w:r>
        <w:rPr>
          <w:rFonts w:ascii="Garamond" w:hAnsi="Garamond"/>
          <w:color w:val="00B0F0"/>
        </w:rPr>
        <w:t xml:space="preserve"> </w:t>
      </w:r>
      <w:r w:rsidR="00612134">
        <w:rPr>
          <w:rFonts w:ascii="Garamond" w:hAnsi="Garamond"/>
        </w:rPr>
        <w:t>contezza del quadr</w:t>
      </w:r>
      <w:r w:rsidR="00747FC2">
        <w:rPr>
          <w:rFonts w:ascii="Garamond" w:hAnsi="Garamond"/>
        </w:rPr>
        <w:t>o clinico completo del paziente, contrariamente a quanto avviene con il medico di base, che non a caso viene definito “</w:t>
      </w:r>
      <w:r w:rsidR="00747FC2" w:rsidRPr="00747FC2">
        <w:rPr>
          <w:rFonts w:ascii="Garamond" w:hAnsi="Garamond"/>
          <w:i/>
        </w:rPr>
        <w:t>Medico di fiducia</w:t>
      </w:r>
      <w:r w:rsidR="00747FC2">
        <w:rPr>
          <w:rFonts w:ascii="Garamond" w:hAnsi="Garamond"/>
        </w:rPr>
        <w:t>”;</w:t>
      </w:r>
      <w:r w:rsidR="00C97BF1">
        <w:rPr>
          <w:rFonts w:ascii="Garamond" w:hAnsi="Garamond"/>
        </w:rPr>
        <w:t xml:space="preserve"> </w:t>
      </w:r>
      <w:r w:rsidRPr="00C97BF1">
        <w:rPr>
          <w:rFonts w:ascii="Garamond" w:hAnsi="Garamond"/>
        </w:rPr>
        <w:t>E ciò c</w:t>
      </w:r>
      <w:r w:rsidR="00612134" w:rsidRPr="00C97BF1">
        <w:rPr>
          <w:rFonts w:ascii="Garamond" w:hAnsi="Garamond"/>
        </w:rPr>
        <w:t>on tutte le conseguenze del caso</w:t>
      </w:r>
      <w:r w:rsidR="00DB31E9" w:rsidRPr="00C97BF1">
        <w:rPr>
          <w:rFonts w:ascii="Garamond" w:hAnsi="Garamond"/>
        </w:rPr>
        <w:t xml:space="preserve"> anche in ordine alle possibili complicazioni derivanti dalla somministrazione di un medicinale soggetto a prescrizione limitativa (RRL)</w:t>
      </w:r>
      <w:r w:rsidR="00C97BF1">
        <w:rPr>
          <w:rFonts w:ascii="Garamond" w:hAnsi="Garamond"/>
        </w:rPr>
        <w:t>,</w:t>
      </w:r>
      <w:r w:rsidR="00DB31E9" w:rsidRPr="00C97BF1">
        <w:rPr>
          <w:rFonts w:ascii="Garamond" w:hAnsi="Garamond"/>
        </w:rPr>
        <w:t xml:space="preserve"> come </w:t>
      </w:r>
      <w:r w:rsidR="00E4747C" w:rsidRPr="00C97BF1">
        <w:rPr>
          <w:rFonts w:ascii="Garamond" w:hAnsi="Garamond"/>
        </w:rPr>
        <w:t>già</w:t>
      </w:r>
      <w:r w:rsidR="00DB31E9" w:rsidRPr="00C97BF1">
        <w:rPr>
          <w:rFonts w:ascii="Garamond" w:hAnsi="Garamond"/>
        </w:rPr>
        <w:t xml:space="preserve"> ricordato. </w:t>
      </w:r>
    </w:p>
    <w:p w:rsidR="000E0864" w:rsidRDefault="003957AA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Il</w:t>
      </w:r>
      <w:r w:rsidR="00544C82">
        <w:rPr>
          <w:rFonts w:ascii="Garamond" w:hAnsi="Garamond"/>
          <w:szCs w:val="28"/>
        </w:rPr>
        <w:t xml:space="preserve"> Codice di Norimberga,</w:t>
      </w:r>
      <w:r>
        <w:rPr>
          <w:rFonts w:ascii="Garamond" w:hAnsi="Garamond"/>
          <w:szCs w:val="28"/>
        </w:rPr>
        <w:t xml:space="preserve"> integrato</w:t>
      </w:r>
      <w:r w:rsidR="00542DB4">
        <w:rPr>
          <w:rFonts w:ascii="Garamond" w:hAnsi="Garamond"/>
          <w:szCs w:val="28"/>
        </w:rPr>
        <w:t xml:space="preserve"> nella Dichiarazione di Helsinki del 1964,</w:t>
      </w:r>
      <w:r w:rsidR="00544C82">
        <w:rPr>
          <w:rFonts w:ascii="Garamond" w:hAnsi="Garamond"/>
          <w:szCs w:val="28"/>
        </w:rPr>
        <w:t xml:space="preserve"> </w:t>
      </w:r>
      <w:r w:rsidR="00542DB4">
        <w:rPr>
          <w:rFonts w:ascii="Garamond" w:hAnsi="Garamond"/>
          <w:szCs w:val="28"/>
        </w:rPr>
        <w:t xml:space="preserve">tracciando una netta </w:t>
      </w:r>
      <w:r w:rsidR="00544C82">
        <w:rPr>
          <w:rFonts w:ascii="Garamond" w:hAnsi="Garamond"/>
          <w:szCs w:val="28"/>
        </w:rPr>
        <w:t>divis</w:t>
      </w:r>
      <w:r w:rsidR="00542DB4">
        <w:rPr>
          <w:rFonts w:ascii="Garamond" w:hAnsi="Garamond"/>
          <w:szCs w:val="28"/>
        </w:rPr>
        <w:t xml:space="preserve">ione </w:t>
      </w:r>
      <w:r w:rsidR="00544C82">
        <w:rPr>
          <w:rFonts w:ascii="Garamond" w:hAnsi="Garamond"/>
          <w:szCs w:val="28"/>
        </w:rPr>
        <w:t>tra sperimentazione lecita e tortura, recita all’art. 1 quanto segue: “</w:t>
      </w:r>
      <w:r w:rsidR="00542DB4" w:rsidRPr="00542DB4">
        <w:rPr>
          <w:rFonts w:ascii="Garamond" w:hAnsi="Garamond"/>
          <w:b/>
          <w:i/>
          <w:szCs w:val="28"/>
          <w:u w:val="single"/>
        </w:rPr>
        <w:t>Il consenso volontario è assolutamente essenziale.</w:t>
      </w:r>
      <w:r w:rsidR="00542DB4" w:rsidRPr="00542DB4">
        <w:rPr>
          <w:rFonts w:ascii="Garamond" w:hAnsi="Garamond"/>
          <w:i/>
          <w:szCs w:val="28"/>
        </w:rPr>
        <w:t xml:space="preserve"> Ciò significa che la persona interessata debba avere capacità legale di esprimere il consenso; che essa sia nella condizione </w:t>
      </w:r>
      <w:r w:rsidR="00542DB4" w:rsidRPr="00542DB4">
        <w:rPr>
          <w:rFonts w:ascii="Garamond" w:hAnsi="Garamond"/>
          <w:b/>
          <w:i/>
          <w:szCs w:val="28"/>
          <w:u w:val="single"/>
        </w:rPr>
        <w:t>di poter esercitare un libero potere decisionale senza che si intervenga con la forza, con la frode, con l'inganno, con minacce o esagerando con qualsiasi forma di vincolo o coercizione</w:t>
      </w:r>
      <w:r w:rsidR="00542DB4" w:rsidRPr="00542DB4">
        <w:rPr>
          <w:rFonts w:ascii="Garamond" w:hAnsi="Garamond"/>
          <w:i/>
          <w:szCs w:val="28"/>
        </w:rPr>
        <w:t xml:space="preserve">; che essa abbia sufficiente conoscenza e comprensione degli elementi coinvolti nello studio, tali da permettere una decisione consapevole e ragionata. Questo ultimo elemento fa si </w:t>
      </w:r>
      <w:r w:rsidR="00542DB4" w:rsidRPr="00542DB4">
        <w:rPr>
          <w:rFonts w:ascii="Garamond" w:hAnsi="Garamond"/>
          <w:b/>
          <w:i/>
          <w:szCs w:val="28"/>
        </w:rPr>
        <w:t>che prima che il soggetto decida affermativamente sia informato circa la natura, la durata, lo scopo della sperimentazione, nonché dei metodi con cui verrà condotta, qualsiasi disagio o pericolo potenziale ed i possibili effetti sulla salute che potrebbero derivare dal partecipare alla sperimentazione</w:t>
      </w:r>
      <w:r w:rsidR="00542DB4" w:rsidRPr="00542DB4">
        <w:rPr>
          <w:rFonts w:ascii="Garamond" w:hAnsi="Garamond"/>
          <w:i/>
          <w:szCs w:val="28"/>
        </w:rPr>
        <w:t xml:space="preserve">. Il dovere e la responsabilità di accertare la bontà del consenso rimane in capo alla persona che avvia o dirige la sperimentazione. </w:t>
      </w:r>
      <w:r w:rsidR="00542DB4" w:rsidRPr="00542DB4">
        <w:rPr>
          <w:rFonts w:ascii="Garamond" w:hAnsi="Garamond"/>
          <w:b/>
          <w:i/>
          <w:szCs w:val="28"/>
        </w:rPr>
        <w:t>Questo è un dovere personale ed una responsabilità che non possono essere delegate impunemente</w:t>
      </w:r>
      <w:r w:rsidR="00542DB4">
        <w:rPr>
          <w:rFonts w:ascii="Garamond" w:hAnsi="Garamond"/>
          <w:b/>
          <w:szCs w:val="28"/>
        </w:rPr>
        <w:t>”;</w:t>
      </w:r>
    </w:p>
    <w:p w:rsidR="00542DB4" w:rsidRDefault="002558B7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3D367B">
        <w:rPr>
          <w:rFonts w:ascii="Garamond" w:hAnsi="Garamond"/>
          <w:b/>
          <w:szCs w:val="28"/>
          <w:u w:val="single"/>
        </w:rPr>
        <w:t>I sanitari che procedono con la somministrazione di tali sostanze</w:t>
      </w:r>
      <w:r>
        <w:rPr>
          <w:rFonts w:ascii="Garamond" w:hAnsi="Garamond"/>
          <w:szCs w:val="28"/>
        </w:rPr>
        <w:t xml:space="preserve"> - qualunque sia il luogo dove ciò avvenga – </w:t>
      </w:r>
      <w:r w:rsidRPr="003D367B">
        <w:rPr>
          <w:rFonts w:ascii="Garamond" w:hAnsi="Garamond"/>
          <w:b/>
          <w:szCs w:val="28"/>
          <w:u w:val="single"/>
        </w:rPr>
        <w:t>sono pienamente consapevoli che un numero indefinito di soggetti</w:t>
      </w:r>
      <w:r w:rsidR="00AE3C20">
        <w:rPr>
          <w:rFonts w:ascii="Garamond" w:hAnsi="Garamond"/>
          <w:b/>
          <w:szCs w:val="28"/>
          <w:u w:val="single"/>
        </w:rPr>
        <w:t xml:space="preserve"> (medici,</w:t>
      </w:r>
      <w:r w:rsidR="003A6771">
        <w:rPr>
          <w:rFonts w:ascii="Garamond" w:hAnsi="Garamond"/>
          <w:b/>
          <w:szCs w:val="28"/>
          <w:u w:val="single"/>
        </w:rPr>
        <w:t xml:space="preserve"> insegnanti, forze di polizia e, oggi, anche</w:t>
      </w:r>
      <w:r w:rsidR="00AE3C20">
        <w:rPr>
          <w:rFonts w:ascii="Garamond" w:hAnsi="Garamond"/>
          <w:b/>
          <w:szCs w:val="28"/>
          <w:u w:val="single"/>
        </w:rPr>
        <w:t xml:space="preserve"> ultracinquantenni)</w:t>
      </w:r>
      <w:r w:rsidRPr="003D367B">
        <w:rPr>
          <w:rFonts w:ascii="Garamond" w:hAnsi="Garamond"/>
          <w:b/>
          <w:szCs w:val="28"/>
          <w:u w:val="single"/>
        </w:rPr>
        <w:t xml:space="preserve"> che si presentano </w:t>
      </w:r>
      <w:r w:rsidR="006F7549" w:rsidRPr="003D367B">
        <w:rPr>
          <w:rFonts w:ascii="Garamond" w:hAnsi="Garamond"/>
          <w:b/>
          <w:szCs w:val="28"/>
          <w:u w:val="single"/>
        </w:rPr>
        <w:t>per l’inoculazione del siero sperimentale non esercitano un “</w:t>
      </w:r>
      <w:r w:rsidR="006F7549" w:rsidRPr="003D367B">
        <w:rPr>
          <w:rFonts w:ascii="Garamond" w:hAnsi="Garamond"/>
          <w:b/>
          <w:i/>
          <w:szCs w:val="28"/>
          <w:u w:val="single"/>
        </w:rPr>
        <w:t>libero potere decisionale</w:t>
      </w:r>
      <w:r w:rsidR="006F7549" w:rsidRPr="003D367B">
        <w:rPr>
          <w:rFonts w:ascii="Garamond" w:hAnsi="Garamond"/>
          <w:b/>
          <w:szCs w:val="28"/>
          <w:u w:val="single"/>
        </w:rPr>
        <w:t>”</w:t>
      </w:r>
      <w:r w:rsidR="003D367B">
        <w:rPr>
          <w:rFonts w:ascii="Garamond" w:hAnsi="Garamond"/>
          <w:szCs w:val="28"/>
        </w:rPr>
        <w:t xml:space="preserve">, come </w:t>
      </w:r>
      <w:r w:rsidR="003A6771">
        <w:rPr>
          <w:rFonts w:ascii="Garamond" w:hAnsi="Garamond"/>
          <w:szCs w:val="28"/>
        </w:rPr>
        <w:t xml:space="preserve">previsto dalle summenzionati fonti, </w:t>
      </w:r>
      <w:r w:rsidR="003A6771" w:rsidRPr="003A6771">
        <w:rPr>
          <w:rFonts w:ascii="Garamond" w:hAnsi="Garamond"/>
          <w:b/>
          <w:szCs w:val="28"/>
        </w:rPr>
        <w:t xml:space="preserve">Codice di Norimberga </w:t>
      </w:r>
      <w:r w:rsidR="003A6771" w:rsidRPr="003A6771">
        <w:rPr>
          <w:rFonts w:ascii="Garamond" w:hAnsi="Garamond"/>
          <w:i/>
          <w:szCs w:val="28"/>
        </w:rPr>
        <w:t>in primis</w:t>
      </w:r>
      <w:r w:rsidR="003A6771">
        <w:rPr>
          <w:rFonts w:ascii="Garamond" w:hAnsi="Garamond"/>
          <w:szCs w:val="28"/>
        </w:rPr>
        <w:t>,</w:t>
      </w:r>
      <w:r w:rsidR="006F7549">
        <w:rPr>
          <w:rFonts w:ascii="Garamond" w:hAnsi="Garamond"/>
          <w:szCs w:val="28"/>
        </w:rPr>
        <w:t xml:space="preserve"> in quanto </w:t>
      </w:r>
      <w:r w:rsidR="003D367B">
        <w:rPr>
          <w:rFonts w:ascii="Garamond" w:hAnsi="Garamond"/>
          <w:szCs w:val="28"/>
        </w:rPr>
        <w:t>il loro consenso è viziato vuoi dalla “</w:t>
      </w:r>
      <w:r w:rsidR="003D367B" w:rsidRPr="003D367B">
        <w:rPr>
          <w:rFonts w:ascii="Garamond" w:hAnsi="Garamond"/>
          <w:b/>
          <w:i/>
          <w:szCs w:val="28"/>
        </w:rPr>
        <w:t>frode</w:t>
      </w:r>
      <w:r w:rsidR="003D367B">
        <w:rPr>
          <w:rFonts w:ascii="Garamond" w:hAnsi="Garamond"/>
          <w:szCs w:val="28"/>
        </w:rPr>
        <w:t>”, sostanziata nell’assoluta mancanza di informazione circa la vera natura di quanto inoculato, vuoi con la “</w:t>
      </w:r>
      <w:r w:rsidR="003D367B" w:rsidRPr="003D367B">
        <w:rPr>
          <w:rFonts w:ascii="Garamond" w:hAnsi="Garamond"/>
          <w:b/>
          <w:i/>
          <w:szCs w:val="28"/>
          <w:u w:val="single"/>
        </w:rPr>
        <w:t>minaccia</w:t>
      </w:r>
      <w:r w:rsidR="003D367B">
        <w:rPr>
          <w:rFonts w:ascii="Garamond" w:hAnsi="Garamond"/>
          <w:szCs w:val="28"/>
        </w:rPr>
        <w:t>” (</w:t>
      </w:r>
      <w:proofErr w:type="spellStart"/>
      <w:r w:rsidR="003D367B" w:rsidRPr="003D367B">
        <w:rPr>
          <w:rFonts w:ascii="Garamond" w:hAnsi="Garamond"/>
          <w:i/>
          <w:szCs w:val="28"/>
        </w:rPr>
        <w:t>rectius</w:t>
      </w:r>
      <w:proofErr w:type="spellEnd"/>
      <w:r w:rsidR="003D367B">
        <w:rPr>
          <w:rFonts w:ascii="Garamond" w:hAnsi="Garamond"/>
          <w:szCs w:val="28"/>
        </w:rPr>
        <w:t xml:space="preserve"> ricatto</w:t>
      </w:r>
      <w:r w:rsidR="003D367B" w:rsidRPr="002419C0">
        <w:rPr>
          <w:rFonts w:ascii="Garamond" w:hAnsi="Garamond"/>
          <w:b/>
          <w:szCs w:val="28"/>
          <w:u w:val="single"/>
        </w:rPr>
        <w:t>!)</w:t>
      </w:r>
      <w:r w:rsidR="00977675" w:rsidRPr="002419C0">
        <w:rPr>
          <w:rFonts w:ascii="Garamond" w:hAnsi="Garamond"/>
          <w:b/>
          <w:szCs w:val="28"/>
          <w:u w:val="single"/>
        </w:rPr>
        <w:t xml:space="preserve"> </w:t>
      </w:r>
      <w:r w:rsidR="003D367B" w:rsidRPr="002419C0">
        <w:rPr>
          <w:rFonts w:ascii="Garamond" w:hAnsi="Garamond"/>
          <w:b/>
          <w:szCs w:val="28"/>
          <w:u w:val="single"/>
        </w:rPr>
        <w:t>di essere sospeso dal lavoro</w:t>
      </w:r>
      <w:r w:rsidR="00363878" w:rsidRPr="002419C0">
        <w:rPr>
          <w:rFonts w:ascii="Garamond" w:hAnsi="Garamond"/>
          <w:b/>
          <w:szCs w:val="28"/>
          <w:u w:val="single"/>
        </w:rPr>
        <w:t xml:space="preserve">, </w:t>
      </w:r>
      <w:r w:rsidR="003D367B" w:rsidRPr="002419C0">
        <w:rPr>
          <w:rFonts w:ascii="Garamond" w:hAnsi="Garamond"/>
          <w:b/>
          <w:szCs w:val="28"/>
          <w:u w:val="single"/>
        </w:rPr>
        <w:t>con conseguente sospensione di qualsivoglia emolumento</w:t>
      </w:r>
      <w:r w:rsidR="00363878" w:rsidRPr="002419C0">
        <w:rPr>
          <w:rFonts w:ascii="Garamond" w:hAnsi="Garamond"/>
          <w:b/>
          <w:szCs w:val="28"/>
          <w:u w:val="single"/>
        </w:rPr>
        <w:t>, o, come nell’ultimo provvedimento, di dover pag</w:t>
      </w:r>
      <w:r w:rsidR="00436AA6" w:rsidRPr="002419C0">
        <w:rPr>
          <w:rFonts w:ascii="Garamond" w:hAnsi="Garamond"/>
          <w:b/>
          <w:szCs w:val="28"/>
          <w:u w:val="single"/>
        </w:rPr>
        <w:t>are una sanzione amministrativa</w:t>
      </w:r>
      <w:r w:rsidR="00436AA6">
        <w:rPr>
          <w:rFonts w:ascii="Garamond" w:hAnsi="Garamond"/>
          <w:szCs w:val="28"/>
        </w:rPr>
        <w:t>;</w:t>
      </w:r>
    </w:p>
    <w:p w:rsidR="00436AA6" w:rsidRPr="003957AA" w:rsidRDefault="00C9274D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color w:val="00B0F0"/>
          <w:szCs w:val="28"/>
        </w:rPr>
      </w:pPr>
      <w:r w:rsidRPr="00CE3165">
        <w:rPr>
          <w:rFonts w:ascii="Garamond" w:hAnsi="Garamond"/>
          <w:b/>
          <w:szCs w:val="28"/>
          <w:u w:val="single"/>
        </w:rPr>
        <w:t>I sanitari che procedono con la somministrazion</w:t>
      </w:r>
      <w:r w:rsidR="00774440" w:rsidRPr="00CE3165">
        <w:rPr>
          <w:rFonts w:ascii="Garamond" w:hAnsi="Garamond"/>
          <w:b/>
          <w:szCs w:val="28"/>
          <w:u w:val="single"/>
        </w:rPr>
        <w:t>e di tali sostanze</w:t>
      </w:r>
      <w:r w:rsidR="00774440">
        <w:rPr>
          <w:rFonts w:ascii="Garamond" w:hAnsi="Garamond"/>
          <w:szCs w:val="28"/>
        </w:rPr>
        <w:t xml:space="preserve"> </w:t>
      </w:r>
      <w:r w:rsidR="00774440" w:rsidRPr="003957AA">
        <w:rPr>
          <w:rFonts w:ascii="Garamond" w:hAnsi="Garamond"/>
          <w:szCs w:val="28"/>
        </w:rPr>
        <w:t>non solo non informano</w:t>
      </w:r>
      <w:r w:rsidR="00774440">
        <w:rPr>
          <w:rFonts w:ascii="Garamond" w:hAnsi="Garamond"/>
          <w:szCs w:val="28"/>
        </w:rPr>
        <w:t xml:space="preserve"> in modo esaustivo il paziente sul trattamento sanitario </w:t>
      </w:r>
      <w:r w:rsidR="003957AA" w:rsidRPr="00E002A0">
        <w:rPr>
          <w:rFonts w:ascii="Garamond" w:hAnsi="Garamond"/>
          <w:szCs w:val="28"/>
        </w:rPr>
        <w:t xml:space="preserve">sperimentale </w:t>
      </w:r>
      <w:r w:rsidR="00774440">
        <w:rPr>
          <w:rFonts w:ascii="Garamond" w:hAnsi="Garamond"/>
          <w:szCs w:val="28"/>
        </w:rPr>
        <w:t>(imposto), nonché su tutti i</w:t>
      </w:r>
      <w:r w:rsidR="003D44C8">
        <w:rPr>
          <w:rFonts w:ascii="Garamond" w:hAnsi="Garamond"/>
          <w:szCs w:val="28"/>
        </w:rPr>
        <w:t xml:space="preserve"> possibili effetti collaterali, </w:t>
      </w:r>
      <w:r w:rsidR="00774440">
        <w:rPr>
          <w:rFonts w:ascii="Garamond" w:hAnsi="Garamond"/>
          <w:szCs w:val="28"/>
        </w:rPr>
        <w:t xml:space="preserve"> </w:t>
      </w:r>
      <w:r w:rsidR="00774440" w:rsidRPr="00CE3165">
        <w:rPr>
          <w:rFonts w:ascii="Garamond" w:hAnsi="Garamond"/>
          <w:b/>
          <w:szCs w:val="28"/>
          <w:u w:val="single"/>
        </w:rPr>
        <w:t>limitandosi ad acquisire</w:t>
      </w:r>
      <w:r w:rsidR="003D44C8">
        <w:rPr>
          <w:rFonts w:ascii="Garamond" w:hAnsi="Garamond"/>
          <w:b/>
          <w:szCs w:val="28"/>
          <w:u w:val="single"/>
        </w:rPr>
        <w:t>, nella maggior parte dei casi,</w:t>
      </w:r>
      <w:r w:rsidR="00774440" w:rsidRPr="00CE3165">
        <w:rPr>
          <w:rFonts w:ascii="Garamond" w:hAnsi="Garamond"/>
          <w:b/>
          <w:szCs w:val="28"/>
          <w:u w:val="single"/>
        </w:rPr>
        <w:t xml:space="preserve"> una sottoscrizione di un modulo</w:t>
      </w:r>
      <w:r w:rsidR="00E002A0">
        <w:rPr>
          <w:rFonts w:ascii="Garamond" w:hAnsi="Garamond"/>
          <w:b/>
          <w:szCs w:val="28"/>
          <w:u w:val="single"/>
        </w:rPr>
        <w:t xml:space="preserve"> con richiesta di indicare la presenza di alcune patologie ma del tutto privi </w:t>
      </w:r>
      <w:r w:rsidR="00774440" w:rsidRPr="00CE3165">
        <w:rPr>
          <w:rFonts w:ascii="Garamond" w:hAnsi="Garamond"/>
          <w:b/>
          <w:szCs w:val="28"/>
          <w:u w:val="single"/>
        </w:rPr>
        <w:t xml:space="preserve"> </w:t>
      </w:r>
      <w:r w:rsidR="00E002A0">
        <w:rPr>
          <w:rFonts w:ascii="Garamond" w:hAnsi="Garamond"/>
          <w:b/>
          <w:szCs w:val="28"/>
          <w:u w:val="single"/>
        </w:rPr>
        <w:t>di indicazioni</w:t>
      </w:r>
      <w:r w:rsidR="00774440" w:rsidRPr="00CE3165">
        <w:rPr>
          <w:rFonts w:ascii="Garamond" w:hAnsi="Garamond"/>
          <w:b/>
          <w:szCs w:val="28"/>
          <w:u w:val="single"/>
        </w:rPr>
        <w:t xml:space="preserve"> circa la natura sperimentale del trattamento</w:t>
      </w:r>
      <w:r w:rsidR="00CE3165">
        <w:rPr>
          <w:rFonts w:ascii="Garamond" w:hAnsi="Garamond"/>
          <w:szCs w:val="28"/>
        </w:rPr>
        <w:t xml:space="preserve"> </w:t>
      </w:r>
      <w:r w:rsidR="00774440" w:rsidRPr="00774440">
        <w:rPr>
          <w:rFonts w:ascii="Garamond" w:hAnsi="Garamond"/>
          <w:i/>
          <w:szCs w:val="28"/>
        </w:rPr>
        <w:t>de quo</w:t>
      </w:r>
      <w:r w:rsidR="00E002A0">
        <w:rPr>
          <w:rFonts w:ascii="Garamond" w:hAnsi="Garamond"/>
          <w:szCs w:val="28"/>
        </w:rPr>
        <w:t xml:space="preserve"> e di tutti i potenziali effetti avversi, e che certamente</w:t>
      </w:r>
      <w:r w:rsidR="00774440">
        <w:rPr>
          <w:rFonts w:ascii="Garamond" w:hAnsi="Garamond"/>
          <w:szCs w:val="28"/>
        </w:rPr>
        <w:t xml:space="preserve"> può in alcun modo sostituire </w:t>
      </w:r>
      <w:r w:rsidR="00774440" w:rsidRPr="00CE3165">
        <w:rPr>
          <w:rFonts w:ascii="Garamond" w:hAnsi="Garamond"/>
          <w:b/>
          <w:szCs w:val="28"/>
          <w:u w:val="single"/>
        </w:rPr>
        <w:t>un’informazione chiara, precisa, ed esaustiva</w:t>
      </w:r>
      <w:r w:rsidR="00774440">
        <w:rPr>
          <w:rFonts w:ascii="Garamond" w:hAnsi="Garamond"/>
          <w:szCs w:val="28"/>
        </w:rPr>
        <w:t xml:space="preserve"> da parte del sanitario, incompatibile con i tempi da “</w:t>
      </w:r>
      <w:r w:rsidR="00774440" w:rsidRPr="00774440">
        <w:rPr>
          <w:rFonts w:ascii="Garamond" w:hAnsi="Garamond"/>
          <w:i/>
          <w:szCs w:val="28"/>
        </w:rPr>
        <w:t>catena di montaggio”</w:t>
      </w:r>
      <w:r w:rsidR="00774440">
        <w:rPr>
          <w:rFonts w:ascii="Garamond" w:hAnsi="Garamond"/>
          <w:szCs w:val="28"/>
        </w:rPr>
        <w:t xml:space="preserve"> riscontrab</w:t>
      </w:r>
      <w:r w:rsidR="009E59FE">
        <w:rPr>
          <w:rFonts w:ascii="Garamond" w:hAnsi="Garamond"/>
          <w:szCs w:val="28"/>
        </w:rPr>
        <w:t>ili nei c.d.</w:t>
      </w:r>
      <w:r w:rsidR="00774440">
        <w:rPr>
          <w:rFonts w:ascii="Garamond" w:hAnsi="Garamond"/>
          <w:szCs w:val="28"/>
        </w:rPr>
        <w:t xml:space="preserve"> </w:t>
      </w:r>
      <w:proofErr w:type="spellStart"/>
      <w:r w:rsidR="00774440" w:rsidRPr="009E59FE">
        <w:rPr>
          <w:rFonts w:ascii="Garamond" w:hAnsi="Garamond"/>
          <w:i/>
          <w:szCs w:val="28"/>
        </w:rPr>
        <w:lastRenderedPageBreak/>
        <w:t>hub</w:t>
      </w:r>
      <w:proofErr w:type="spellEnd"/>
      <w:r w:rsidR="00E002A0">
        <w:rPr>
          <w:rFonts w:ascii="Garamond" w:hAnsi="Garamond"/>
          <w:szCs w:val="28"/>
        </w:rPr>
        <w:t xml:space="preserve"> vaccinali, con conseguente violazione non solo del Codice deontologico, ma di tutta la normativa, nazionale e comunitaria </w:t>
      </w:r>
      <w:proofErr w:type="spellStart"/>
      <w:r w:rsidR="00E002A0">
        <w:rPr>
          <w:rFonts w:ascii="Garamond" w:hAnsi="Garamond"/>
          <w:szCs w:val="28"/>
        </w:rPr>
        <w:t>sopraevocata</w:t>
      </w:r>
      <w:proofErr w:type="spellEnd"/>
      <w:r w:rsidR="00E002A0">
        <w:rPr>
          <w:rFonts w:ascii="Garamond" w:hAnsi="Garamond"/>
          <w:szCs w:val="28"/>
        </w:rPr>
        <w:t>;</w:t>
      </w:r>
    </w:p>
    <w:p w:rsidR="00CE3165" w:rsidRDefault="00CE3165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AD3127">
        <w:rPr>
          <w:rFonts w:ascii="Garamond" w:hAnsi="Garamond"/>
          <w:b/>
          <w:szCs w:val="28"/>
          <w:u w:val="single"/>
        </w:rPr>
        <w:t>I sanitari,</w:t>
      </w:r>
      <w:r>
        <w:rPr>
          <w:rFonts w:ascii="Garamond" w:hAnsi="Garamond"/>
          <w:szCs w:val="28"/>
        </w:rPr>
        <w:t xml:space="preserve"> come correttamente dichiarato nella comunicazione </w:t>
      </w:r>
      <w:proofErr w:type="spellStart"/>
      <w:r>
        <w:rPr>
          <w:rFonts w:ascii="Garamond" w:hAnsi="Garamond"/>
          <w:szCs w:val="28"/>
        </w:rPr>
        <w:t>FNOMCeO</w:t>
      </w:r>
      <w:proofErr w:type="spellEnd"/>
      <w:r>
        <w:rPr>
          <w:rFonts w:ascii="Garamond" w:hAnsi="Garamond"/>
          <w:szCs w:val="28"/>
        </w:rPr>
        <w:t xml:space="preserve"> citata, </w:t>
      </w:r>
      <w:r w:rsidRPr="00AD3127">
        <w:rPr>
          <w:rFonts w:ascii="Garamond" w:hAnsi="Garamond"/>
          <w:b/>
          <w:szCs w:val="28"/>
          <w:u w:val="single"/>
        </w:rPr>
        <w:t>sono a conoscenza della potenziale pericolosità del siero</w:t>
      </w:r>
      <w:r w:rsidR="004D616C" w:rsidRPr="007D178F">
        <w:rPr>
          <w:rFonts w:ascii="Garamond" w:hAnsi="Garamond"/>
          <w:szCs w:val="28"/>
        </w:rPr>
        <w:t>)</w:t>
      </w:r>
      <w:r w:rsidRPr="007D178F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 xml:space="preserve">e cionondimeno si prestano alla somministrazione pur in presenza di un consenso estorto con minaccia di </w:t>
      </w:r>
      <w:r w:rsidR="00AD3127">
        <w:rPr>
          <w:rFonts w:ascii="Garamond" w:hAnsi="Garamond"/>
          <w:szCs w:val="28"/>
        </w:rPr>
        <w:t>perdita del posto di lavoro (“P</w:t>
      </w:r>
      <w:r w:rsidR="00AD3127" w:rsidRPr="00AD3127">
        <w:rPr>
          <w:rFonts w:ascii="Garamond" w:hAnsi="Garamond"/>
          <w:i/>
          <w:szCs w:val="28"/>
        </w:rPr>
        <w:t xml:space="preserve">ertanto si evidenzia che tale attività sanitaria, comportando un </w:t>
      </w:r>
      <w:r w:rsidR="00AD3127" w:rsidRPr="00AD3127">
        <w:rPr>
          <w:rFonts w:ascii="Garamond" w:hAnsi="Garamond"/>
          <w:b/>
          <w:i/>
          <w:szCs w:val="28"/>
          <w:u w:val="single"/>
        </w:rPr>
        <w:t>potenziale rischio per la sicurezza del paziente</w:t>
      </w:r>
      <w:r w:rsidR="00AD3127" w:rsidRPr="00AD3127">
        <w:rPr>
          <w:rFonts w:ascii="Garamond" w:hAnsi="Garamond"/>
          <w:i/>
          <w:szCs w:val="28"/>
        </w:rPr>
        <w:t xml:space="preserve"> – tanto che il medicinale è </w:t>
      </w:r>
      <w:r w:rsidR="00AD3127">
        <w:rPr>
          <w:rFonts w:ascii="Garamond" w:hAnsi="Garamond"/>
          <w:i/>
          <w:szCs w:val="28"/>
        </w:rPr>
        <w:t xml:space="preserve">soggetto </w:t>
      </w:r>
      <w:r w:rsidR="00AD3127" w:rsidRPr="00AD3127">
        <w:rPr>
          <w:rFonts w:ascii="Garamond" w:hAnsi="Garamond"/>
          <w:b/>
          <w:i/>
          <w:szCs w:val="28"/>
          <w:u w:val="single"/>
        </w:rPr>
        <w:t>prescrizione medica limitativa (RRL)</w:t>
      </w:r>
      <w:r w:rsidR="00AD3127" w:rsidRPr="00AD3127">
        <w:rPr>
          <w:rFonts w:ascii="Garamond" w:hAnsi="Garamond"/>
          <w:i/>
          <w:szCs w:val="28"/>
        </w:rPr>
        <w:t xml:space="preserve"> – dovrebbe essere necessariamente svolta sotto la supervisione e alla presenza del medico</w:t>
      </w:r>
      <w:r w:rsidR="00AD3127">
        <w:rPr>
          <w:rFonts w:ascii="Garamond" w:hAnsi="Garamond"/>
          <w:szCs w:val="28"/>
        </w:rPr>
        <w:t xml:space="preserve">”, pag. 4, 3° </w:t>
      </w:r>
      <w:proofErr w:type="spellStart"/>
      <w:r w:rsidR="00AD3127">
        <w:rPr>
          <w:rFonts w:ascii="Garamond" w:hAnsi="Garamond"/>
          <w:szCs w:val="28"/>
        </w:rPr>
        <w:t>cpv</w:t>
      </w:r>
      <w:proofErr w:type="spellEnd"/>
      <w:r w:rsidR="007D178F">
        <w:rPr>
          <w:rFonts w:ascii="Garamond" w:hAnsi="Garamond"/>
          <w:szCs w:val="28"/>
        </w:rPr>
        <w:t xml:space="preserve">, </w:t>
      </w:r>
      <w:proofErr w:type="spellStart"/>
      <w:r w:rsidR="007D178F">
        <w:rPr>
          <w:rFonts w:ascii="Garamond" w:hAnsi="Garamond"/>
          <w:szCs w:val="28"/>
        </w:rPr>
        <w:t>all</w:t>
      </w:r>
      <w:proofErr w:type="spellEnd"/>
      <w:r w:rsidR="007D178F">
        <w:rPr>
          <w:rFonts w:ascii="Garamond" w:hAnsi="Garamond"/>
          <w:szCs w:val="28"/>
        </w:rPr>
        <w:t>. 2</w:t>
      </w:r>
      <w:r w:rsidR="00AD3127">
        <w:rPr>
          <w:rFonts w:ascii="Garamond" w:hAnsi="Garamond"/>
          <w:szCs w:val="28"/>
        </w:rPr>
        <w:t>);</w:t>
      </w:r>
    </w:p>
    <w:p w:rsidR="00AD3127" w:rsidRPr="003957AA" w:rsidRDefault="00AD3127" w:rsidP="00D9612F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3957AA">
        <w:rPr>
          <w:rFonts w:ascii="Garamond" w:hAnsi="Garamond"/>
          <w:b/>
          <w:szCs w:val="28"/>
          <w:u w:val="single"/>
        </w:rPr>
        <w:t xml:space="preserve">I sanitari che procedono con la somministrazione di tali sostanze agiscono in totale assenza della prescrizione medica limitativa (RRL) </w:t>
      </w:r>
      <w:r w:rsidRPr="003957AA">
        <w:rPr>
          <w:rFonts w:ascii="Garamond" w:hAnsi="Garamond"/>
          <w:szCs w:val="28"/>
        </w:rPr>
        <w:t>richiamata nella comunicaz</w:t>
      </w:r>
      <w:r w:rsidR="003A5EA1" w:rsidRPr="003957AA">
        <w:rPr>
          <w:rFonts w:ascii="Garamond" w:hAnsi="Garamond"/>
          <w:szCs w:val="28"/>
        </w:rPr>
        <w:t xml:space="preserve">ione di cui al punto precedente. </w:t>
      </w:r>
    </w:p>
    <w:p w:rsidR="00D9612F" w:rsidRDefault="00E77268" w:rsidP="00D9612F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 w:rsidRPr="003957AA">
        <w:rPr>
          <w:rFonts w:ascii="Garamond" w:hAnsi="Garamond"/>
          <w:szCs w:val="28"/>
        </w:rPr>
        <w:t xml:space="preserve">La </w:t>
      </w:r>
      <w:proofErr w:type="spellStart"/>
      <w:r w:rsidRPr="003957AA">
        <w:rPr>
          <w:rFonts w:ascii="Garamond" w:hAnsi="Garamond"/>
          <w:szCs w:val="28"/>
        </w:rPr>
        <w:t>FNOMCeO</w:t>
      </w:r>
      <w:proofErr w:type="spellEnd"/>
      <w:r w:rsidRPr="003957AA">
        <w:rPr>
          <w:rFonts w:ascii="Garamond" w:hAnsi="Garamond"/>
          <w:szCs w:val="28"/>
        </w:rPr>
        <w:t xml:space="preserve"> nel “</w:t>
      </w:r>
      <w:r w:rsidRPr="00126470">
        <w:rPr>
          <w:rFonts w:ascii="Garamond" w:hAnsi="Garamond"/>
          <w:i/>
          <w:szCs w:val="28"/>
        </w:rPr>
        <w:t>Documento sui vaccini</w:t>
      </w:r>
      <w:r w:rsidRPr="003957AA">
        <w:rPr>
          <w:rFonts w:ascii="Garamond" w:hAnsi="Garamond"/>
          <w:szCs w:val="28"/>
        </w:rPr>
        <w:t xml:space="preserve">” dell’08 </w:t>
      </w:r>
      <w:proofErr w:type="gramStart"/>
      <w:r w:rsidRPr="003957AA">
        <w:rPr>
          <w:rFonts w:ascii="Garamond" w:hAnsi="Garamond"/>
          <w:szCs w:val="28"/>
        </w:rPr>
        <w:t>Luglio</w:t>
      </w:r>
      <w:proofErr w:type="gramEnd"/>
      <w:r w:rsidRPr="003957AA">
        <w:rPr>
          <w:rFonts w:ascii="Garamond" w:hAnsi="Garamond"/>
          <w:szCs w:val="28"/>
        </w:rPr>
        <w:t xml:space="preserve"> 2016</w:t>
      </w:r>
      <w:r w:rsidR="00A85848" w:rsidRPr="003957AA">
        <w:rPr>
          <w:rFonts w:ascii="Garamond" w:hAnsi="Garamond"/>
          <w:szCs w:val="28"/>
        </w:rPr>
        <w:t xml:space="preserve"> ha, di fatto, privato il medico della propria libertà di agire </w:t>
      </w:r>
      <w:r w:rsidR="00A85848" w:rsidRPr="003957AA">
        <w:rPr>
          <w:rFonts w:ascii="Garamond" w:hAnsi="Garamond"/>
          <w:i/>
          <w:szCs w:val="28"/>
        </w:rPr>
        <w:t>“in scienza e coscienza</w:t>
      </w:r>
      <w:r w:rsidR="00A85848" w:rsidRPr="003957AA">
        <w:rPr>
          <w:rFonts w:ascii="Garamond" w:hAnsi="Garamond"/>
          <w:szCs w:val="28"/>
        </w:rPr>
        <w:t>” chiarendo</w:t>
      </w:r>
      <w:r w:rsidR="003F6EB0" w:rsidRPr="003957AA">
        <w:rPr>
          <w:rFonts w:ascii="Garamond" w:hAnsi="Garamond"/>
          <w:szCs w:val="28"/>
        </w:rPr>
        <w:t>,</w:t>
      </w:r>
      <w:r w:rsidR="00A85848" w:rsidRPr="003957AA">
        <w:rPr>
          <w:rFonts w:ascii="Garamond" w:hAnsi="Garamond"/>
          <w:i/>
          <w:szCs w:val="28"/>
        </w:rPr>
        <w:t xml:space="preserve"> </w:t>
      </w:r>
      <w:proofErr w:type="spellStart"/>
      <w:r w:rsidR="00A85848" w:rsidRPr="003957AA">
        <w:rPr>
          <w:rFonts w:ascii="Garamond" w:hAnsi="Garamond"/>
          <w:i/>
          <w:szCs w:val="28"/>
        </w:rPr>
        <w:t>expressis</w:t>
      </w:r>
      <w:proofErr w:type="spellEnd"/>
      <w:r w:rsidR="00A85848" w:rsidRPr="003957AA">
        <w:rPr>
          <w:rFonts w:ascii="Garamond" w:hAnsi="Garamond"/>
          <w:i/>
          <w:szCs w:val="28"/>
        </w:rPr>
        <w:t xml:space="preserve"> </w:t>
      </w:r>
      <w:proofErr w:type="spellStart"/>
      <w:r w:rsidR="00A85848" w:rsidRPr="003957AA">
        <w:rPr>
          <w:rFonts w:ascii="Garamond" w:hAnsi="Garamond"/>
          <w:i/>
          <w:szCs w:val="28"/>
        </w:rPr>
        <w:t>verbis</w:t>
      </w:r>
      <w:proofErr w:type="spellEnd"/>
      <w:r w:rsidR="003F6EB0" w:rsidRPr="003957AA">
        <w:rPr>
          <w:rFonts w:ascii="Garamond" w:hAnsi="Garamond"/>
          <w:szCs w:val="28"/>
        </w:rPr>
        <w:t xml:space="preserve">, </w:t>
      </w:r>
      <w:r w:rsidR="00A85848" w:rsidRPr="003957AA">
        <w:rPr>
          <w:rFonts w:ascii="Garamond" w:hAnsi="Garamond"/>
          <w:szCs w:val="28"/>
        </w:rPr>
        <w:t xml:space="preserve">che </w:t>
      </w:r>
      <w:r w:rsidR="003F6EB0" w:rsidRPr="003957AA">
        <w:rPr>
          <w:rFonts w:ascii="Garamond" w:hAnsi="Garamond"/>
          <w:b/>
          <w:i/>
          <w:szCs w:val="28"/>
        </w:rPr>
        <w:t xml:space="preserve">“Il consiglio di non vaccinarsi </w:t>
      </w:r>
      <w:r w:rsidR="003F6EB0" w:rsidRPr="003957AA">
        <w:rPr>
          <w:rFonts w:ascii="Garamond" w:hAnsi="Garamond"/>
          <w:szCs w:val="28"/>
        </w:rPr>
        <w:t>(al di fuori di casi specifici)</w:t>
      </w:r>
      <w:r w:rsidR="003F6EB0" w:rsidRPr="003957AA">
        <w:rPr>
          <w:rFonts w:ascii="Garamond" w:hAnsi="Garamond"/>
          <w:b/>
          <w:i/>
          <w:szCs w:val="28"/>
        </w:rPr>
        <w:t xml:space="preserve"> in particolare se fornito al pubblico con qualsiasi mezzo, costituisce illecito disciplinare</w:t>
      </w:r>
      <w:r w:rsidR="003F6EB0" w:rsidRPr="003957AA">
        <w:rPr>
          <w:rFonts w:ascii="Garamond" w:hAnsi="Garamond"/>
          <w:szCs w:val="28"/>
        </w:rPr>
        <w:t xml:space="preserve">” </w:t>
      </w:r>
      <w:r w:rsidR="009D251D" w:rsidRPr="003957AA">
        <w:rPr>
          <w:rFonts w:ascii="Garamond" w:hAnsi="Garamond"/>
          <w:szCs w:val="28"/>
        </w:rPr>
        <w:t xml:space="preserve">(pag. 4, punto 15, 2° </w:t>
      </w:r>
      <w:proofErr w:type="spellStart"/>
      <w:r w:rsidR="009D251D" w:rsidRPr="003957AA">
        <w:rPr>
          <w:rFonts w:ascii="Garamond" w:hAnsi="Garamond"/>
          <w:szCs w:val="28"/>
        </w:rPr>
        <w:t>cpv</w:t>
      </w:r>
      <w:proofErr w:type="spellEnd"/>
      <w:r w:rsidR="009D251D" w:rsidRPr="003957AA">
        <w:rPr>
          <w:rFonts w:ascii="Garamond" w:hAnsi="Garamond"/>
          <w:szCs w:val="28"/>
        </w:rPr>
        <w:t>)</w:t>
      </w:r>
      <w:r w:rsidR="002E2627" w:rsidRPr="003957AA">
        <w:rPr>
          <w:rFonts w:ascii="Garamond" w:hAnsi="Garamond"/>
          <w:szCs w:val="28"/>
        </w:rPr>
        <w:t>, coartando le condotte dei sanitari, con le implicazioni sul piano del Diritto Penale che ne conseguono;</w:t>
      </w:r>
    </w:p>
    <w:p w:rsidR="00263AAD" w:rsidRPr="002E2627" w:rsidRDefault="00263AAD" w:rsidP="00D9612F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La libertà di agire in scienza e coscienza è stata ribadita nella recentissima sentenza del TAR Lazio, Nr. 419/2022, pubblicata il 15.01.2022, in merito all’annullamento della Circolare della Salute recante “Gestione dei pazienti con infezione da SARS-CoV-2”, la quale prevedeva unicamente una “</w:t>
      </w:r>
      <w:r w:rsidRPr="00A83580">
        <w:rPr>
          <w:rFonts w:ascii="Garamond" w:hAnsi="Garamond"/>
          <w:i/>
          <w:szCs w:val="28"/>
        </w:rPr>
        <w:t>vigilante attesa e somministrazione di fans e paracetamolo</w:t>
      </w:r>
      <w:r>
        <w:rPr>
          <w:rFonts w:ascii="Garamond" w:hAnsi="Garamond"/>
          <w:szCs w:val="28"/>
        </w:rPr>
        <w:t xml:space="preserve">” ponendo indicazione di non utilizzo di tutti i farmaci generalmente utilizzati di medicina generale per i pazienti affetti da </w:t>
      </w:r>
      <w:proofErr w:type="spellStart"/>
      <w:r>
        <w:rPr>
          <w:rFonts w:ascii="Garamond" w:hAnsi="Garamond"/>
          <w:szCs w:val="28"/>
        </w:rPr>
        <w:t>Covid</w:t>
      </w:r>
      <w:proofErr w:type="spellEnd"/>
      <w:r>
        <w:rPr>
          <w:rFonts w:ascii="Garamond" w:hAnsi="Garamond"/>
          <w:szCs w:val="28"/>
        </w:rPr>
        <w:t xml:space="preserve">, la quale </w:t>
      </w:r>
      <w:r w:rsidR="007B442E">
        <w:rPr>
          <w:rFonts w:ascii="Garamond" w:hAnsi="Garamond"/>
          <w:szCs w:val="28"/>
        </w:rPr>
        <w:t xml:space="preserve">precisa, una volta di più, che “[….] </w:t>
      </w:r>
      <w:r w:rsidR="007B442E" w:rsidRPr="007B442E">
        <w:rPr>
          <w:rFonts w:ascii="Garamond" w:hAnsi="Garamond"/>
          <w:b/>
          <w:i/>
          <w:szCs w:val="28"/>
        </w:rPr>
        <w:t>è onere imprescindibile di ogni sanitario di agire secondo scienza e coscienza, assumendosi la responsabilità circa l’esito della terapia prescritta quale conseguenza della professionalità e del titolo specialistico conseguito</w:t>
      </w:r>
      <w:r w:rsidR="007B442E">
        <w:rPr>
          <w:rFonts w:ascii="Garamond" w:hAnsi="Garamond"/>
          <w:szCs w:val="28"/>
        </w:rPr>
        <w:t xml:space="preserve">”, e ancora “[….] </w:t>
      </w:r>
      <w:r w:rsidR="007B442E" w:rsidRPr="007B442E">
        <w:rPr>
          <w:rFonts w:ascii="Garamond" w:hAnsi="Garamond"/>
          <w:b/>
          <w:i/>
          <w:szCs w:val="28"/>
        </w:rPr>
        <w:t>Quindi il contenuto della nota ministeriale, imponendo ai medici puntuali e vincolanti scelte terapeutiche, si pone in contrasto con l’attività professionale così come demandata al medico nei termini indicata dalla scienza e dalla deontologia professionale</w:t>
      </w:r>
      <w:r w:rsidR="007B442E">
        <w:rPr>
          <w:rFonts w:ascii="Garamond" w:hAnsi="Garamond"/>
          <w:szCs w:val="28"/>
        </w:rPr>
        <w:t>”</w:t>
      </w:r>
      <w:r w:rsidR="0004530D">
        <w:rPr>
          <w:rFonts w:ascii="Garamond" w:hAnsi="Garamond"/>
          <w:szCs w:val="28"/>
        </w:rPr>
        <w:t xml:space="preserve"> (</w:t>
      </w:r>
      <w:proofErr w:type="spellStart"/>
      <w:r w:rsidR="0004530D">
        <w:rPr>
          <w:rFonts w:ascii="Garamond" w:hAnsi="Garamond"/>
          <w:szCs w:val="28"/>
        </w:rPr>
        <w:t>all</w:t>
      </w:r>
      <w:proofErr w:type="spellEnd"/>
      <w:r w:rsidR="0004530D">
        <w:rPr>
          <w:rFonts w:ascii="Garamond" w:hAnsi="Garamond"/>
          <w:szCs w:val="28"/>
        </w:rPr>
        <w:t>. 3)</w:t>
      </w:r>
      <w:r w:rsidR="007B442E">
        <w:rPr>
          <w:rFonts w:ascii="Garamond" w:hAnsi="Garamond"/>
          <w:szCs w:val="28"/>
        </w:rPr>
        <w:t>;</w:t>
      </w:r>
    </w:p>
    <w:p w:rsidR="004671E2" w:rsidRDefault="00AD3127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</w:t>
      </w:r>
      <w:r w:rsidR="003B0175">
        <w:rPr>
          <w:rFonts w:ascii="Garamond" w:hAnsi="Garamond"/>
          <w:szCs w:val="28"/>
        </w:rPr>
        <w:t>e condotte poste in essere dai sa</w:t>
      </w:r>
      <w:r w:rsidR="001D00EB">
        <w:rPr>
          <w:rFonts w:ascii="Garamond" w:hAnsi="Garamond"/>
          <w:szCs w:val="28"/>
        </w:rPr>
        <w:t>nitari violano apertamente gli artt.</w:t>
      </w:r>
      <w:r w:rsidR="00263AAD">
        <w:rPr>
          <w:rFonts w:ascii="Garamond" w:hAnsi="Garamond"/>
          <w:szCs w:val="28"/>
        </w:rPr>
        <w:t>.</w:t>
      </w:r>
      <w:r w:rsidR="003B0175">
        <w:rPr>
          <w:rFonts w:ascii="Garamond" w:hAnsi="Garamond"/>
          <w:szCs w:val="28"/>
        </w:rPr>
        <w:t xml:space="preserve">1, 5, 6, 7 </w:t>
      </w:r>
      <w:r w:rsidR="006B42D3">
        <w:rPr>
          <w:rFonts w:ascii="Garamond" w:hAnsi="Garamond"/>
          <w:szCs w:val="28"/>
        </w:rPr>
        <w:t>e 9 del Codice di Norimberga (</w:t>
      </w:r>
      <w:r w:rsidR="003B0175">
        <w:rPr>
          <w:rFonts w:ascii="Garamond" w:hAnsi="Garamond"/>
          <w:szCs w:val="28"/>
        </w:rPr>
        <w:t>cd. “</w:t>
      </w:r>
      <w:r w:rsidR="003B0175" w:rsidRPr="003B0175">
        <w:rPr>
          <w:rFonts w:ascii="Garamond" w:hAnsi="Garamond"/>
          <w:i/>
          <w:szCs w:val="28"/>
        </w:rPr>
        <w:t>Crimini contro l’umanità</w:t>
      </w:r>
      <w:r w:rsidR="003B0175">
        <w:rPr>
          <w:rFonts w:ascii="Garamond" w:hAnsi="Garamond"/>
          <w:szCs w:val="28"/>
        </w:rPr>
        <w:t>”</w:t>
      </w:r>
      <w:r w:rsidR="006B42D3">
        <w:rPr>
          <w:rFonts w:ascii="Garamond" w:hAnsi="Garamond"/>
          <w:szCs w:val="28"/>
        </w:rPr>
        <w:t>)</w:t>
      </w:r>
      <w:r w:rsidR="009F298F">
        <w:rPr>
          <w:rFonts w:ascii="Garamond" w:hAnsi="Garamond"/>
          <w:szCs w:val="28"/>
        </w:rPr>
        <w:t xml:space="preserve"> - </w:t>
      </w:r>
      <w:r w:rsidR="00EB6D4A">
        <w:rPr>
          <w:rFonts w:ascii="Garamond" w:hAnsi="Garamond"/>
          <w:szCs w:val="28"/>
        </w:rPr>
        <w:t xml:space="preserve">oltre alle norme di deontologia medica, e ai Trattati internazionali </w:t>
      </w:r>
      <w:proofErr w:type="spellStart"/>
      <w:r w:rsidR="009F298F" w:rsidRPr="009F298F">
        <w:rPr>
          <w:rFonts w:ascii="Garamond" w:hAnsi="Garamond"/>
          <w:i/>
          <w:szCs w:val="28"/>
        </w:rPr>
        <w:t>supra</w:t>
      </w:r>
      <w:proofErr w:type="spellEnd"/>
      <w:r w:rsidR="009F298F">
        <w:rPr>
          <w:rFonts w:ascii="Garamond" w:hAnsi="Garamond"/>
          <w:szCs w:val="28"/>
        </w:rPr>
        <w:t xml:space="preserve"> evocate -</w:t>
      </w:r>
      <w:r w:rsidR="00445E90">
        <w:rPr>
          <w:rFonts w:ascii="Garamond" w:hAnsi="Garamond"/>
          <w:szCs w:val="28"/>
        </w:rPr>
        <w:t xml:space="preserve"> e, in quanto tali</w:t>
      </w:r>
      <w:r w:rsidR="00CE1A71">
        <w:rPr>
          <w:rFonts w:ascii="Garamond" w:hAnsi="Garamond"/>
          <w:szCs w:val="28"/>
        </w:rPr>
        <w:t>, di ess</w:t>
      </w:r>
      <w:r w:rsidR="009546F1">
        <w:rPr>
          <w:rFonts w:ascii="Garamond" w:hAnsi="Garamond"/>
          <w:szCs w:val="28"/>
        </w:rPr>
        <w:t>e ne viene</w:t>
      </w:r>
      <w:r w:rsidR="00CE1A71">
        <w:rPr>
          <w:rFonts w:ascii="Garamond" w:hAnsi="Garamond"/>
          <w:szCs w:val="28"/>
        </w:rPr>
        <w:t xml:space="preserve"> notiziato il</w:t>
      </w:r>
      <w:r w:rsidR="00445E90">
        <w:rPr>
          <w:rFonts w:ascii="Garamond" w:hAnsi="Garamond"/>
          <w:szCs w:val="28"/>
        </w:rPr>
        <w:t xml:space="preserve"> </w:t>
      </w:r>
      <w:r w:rsidR="00445E90" w:rsidRPr="00445E90">
        <w:rPr>
          <w:rFonts w:ascii="Garamond" w:hAnsi="Garamond"/>
          <w:szCs w:val="28"/>
        </w:rPr>
        <w:t>Procuratore della Co</w:t>
      </w:r>
      <w:r w:rsidR="004D4E63">
        <w:rPr>
          <w:rFonts w:ascii="Garamond" w:hAnsi="Garamond"/>
          <w:szCs w:val="28"/>
        </w:rPr>
        <w:t>rte Penale Internazionale dell'</w:t>
      </w:r>
      <w:proofErr w:type="spellStart"/>
      <w:r w:rsidR="00445E90" w:rsidRPr="00445E90">
        <w:rPr>
          <w:rFonts w:ascii="Garamond" w:hAnsi="Garamond"/>
          <w:szCs w:val="28"/>
        </w:rPr>
        <w:t>Aja</w:t>
      </w:r>
      <w:proofErr w:type="spellEnd"/>
      <w:r w:rsidR="003740F5">
        <w:rPr>
          <w:rFonts w:ascii="Garamond" w:hAnsi="Garamond"/>
          <w:szCs w:val="28"/>
        </w:rPr>
        <w:t xml:space="preserve"> Mr. Karim Kahn,</w:t>
      </w:r>
      <w:r w:rsidR="009546F1">
        <w:rPr>
          <w:rFonts w:ascii="Garamond" w:hAnsi="Garamond"/>
          <w:szCs w:val="28"/>
        </w:rPr>
        <w:t xml:space="preserve"> a cui la presente</w:t>
      </w:r>
      <w:r w:rsidR="00A312C1">
        <w:rPr>
          <w:rFonts w:ascii="Garamond" w:hAnsi="Garamond"/>
          <w:szCs w:val="28"/>
        </w:rPr>
        <w:t>, tradotta in lingua inglese</w:t>
      </w:r>
      <w:r w:rsidR="009546F1">
        <w:rPr>
          <w:rFonts w:ascii="Garamond" w:hAnsi="Garamond"/>
          <w:szCs w:val="28"/>
        </w:rPr>
        <w:t xml:space="preserve"> viene inviata,</w:t>
      </w:r>
      <w:r w:rsidR="00445E90">
        <w:rPr>
          <w:rFonts w:ascii="Garamond" w:hAnsi="Garamond"/>
          <w:szCs w:val="28"/>
        </w:rPr>
        <w:t xml:space="preserve"> perché effettui le indagini del caso ed eserciti l’azione penale nei confronti di tutti i soggetti che, </w:t>
      </w:r>
      <w:r w:rsidR="00445E90" w:rsidRPr="00CE1A71">
        <w:rPr>
          <w:rFonts w:ascii="Garamond" w:hAnsi="Garamond"/>
          <w:b/>
          <w:szCs w:val="28"/>
          <w:u w:val="single"/>
        </w:rPr>
        <w:t>con azioni od omissioni</w:t>
      </w:r>
      <w:r w:rsidR="00445E90">
        <w:rPr>
          <w:rFonts w:ascii="Garamond" w:hAnsi="Garamond"/>
          <w:szCs w:val="28"/>
        </w:rPr>
        <w:t xml:space="preserve">, hanno </w:t>
      </w:r>
      <w:r w:rsidR="00B44614">
        <w:rPr>
          <w:rFonts w:ascii="Garamond" w:hAnsi="Garamond"/>
          <w:szCs w:val="28"/>
        </w:rPr>
        <w:t>consentito il verificarsi di tali crimini;</w:t>
      </w:r>
    </w:p>
    <w:p w:rsidR="00BA17D4" w:rsidRDefault="00BA17D4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La causa di non punibilità prevista dall’art</w:t>
      </w:r>
      <w:r w:rsidR="001138AF">
        <w:rPr>
          <w:rFonts w:ascii="Garamond" w:hAnsi="Garamond"/>
          <w:szCs w:val="28"/>
        </w:rPr>
        <w:t xml:space="preserve"> 3 bis della Legge</w:t>
      </w:r>
      <w:r w:rsidR="001138AF" w:rsidRPr="001138AF">
        <w:rPr>
          <w:rFonts w:ascii="Garamond" w:hAnsi="Garamond"/>
          <w:szCs w:val="28"/>
        </w:rPr>
        <w:t xml:space="preserve"> 28 maggio 2021, n. 76</w:t>
      </w:r>
      <w:r w:rsidR="001138AF">
        <w:rPr>
          <w:rFonts w:ascii="Garamond" w:hAnsi="Garamond"/>
          <w:szCs w:val="28"/>
        </w:rPr>
        <w:t>, c</w:t>
      </w:r>
      <w:r w:rsidR="001138AF" w:rsidRPr="001138AF">
        <w:rPr>
          <w:rFonts w:ascii="Garamond" w:hAnsi="Garamond"/>
          <w:szCs w:val="28"/>
        </w:rPr>
        <w:t xml:space="preserve">onversione in legge, con modificazioni, del </w:t>
      </w:r>
      <w:r w:rsidR="003A5EA1">
        <w:rPr>
          <w:rFonts w:ascii="Garamond" w:hAnsi="Garamond"/>
          <w:szCs w:val="28"/>
        </w:rPr>
        <w:t>Decreto L</w:t>
      </w:r>
      <w:r w:rsidR="001138AF" w:rsidRPr="001138AF">
        <w:rPr>
          <w:rFonts w:ascii="Garamond" w:hAnsi="Garamond"/>
          <w:szCs w:val="28"/>
        </w:rPr>
        <w:t xml:space="preserve">egge </w:t>
      </w:r>
      <w:r w:rsidR="003A5EA1">
        <w:rPr>
          <w:rFonts w:ascii="Garamond" w:hAnsi="Garamond"/>
          <w:szCs w:val="28"/>
        </w:rPr>
        <w:t xml:space="preserve">n. 44 del </w:t>
      </w:r>
      <w:r w:rsidR="001138AF" w:rsidRPr="001138AF">
        <w:rPr>
          <w:rFonts w:ascii="Garamond" w:hAnsi="Garamond"/>
          <w:szCs w:val="28"/>
        </w:rPr>
        <w:t>1</w:t>
      </w:r>
      <w:r w:rsidR="003A5EA1">
        <w:rPr>
          <w:rFonts w:ascii="Garamond" w:hAnsi="Garamond"/>
          <w:szCs w:val="28"/>
        </w:rPr>
        <w:t>.04.202</w:t>
      </w:r>
      <w:r w:rsidR="004666A4">
        <w:rPr>
          <w:rFonts w:ascii="Garamond" w:hAnsi="Garamond"/>
          <w:szCs w:val="28"/>
        </w:rPr>
        <w:t>1, (cd. “</w:t>
      </w:r>
      <w:r w:rsidR="004666A4" w:rsidRPr="004666A4">
        <w:rPr>
          <w:rFonts w:ascii="Garamond" w:hAnsi="Garamond"/>
          <w:i/>
          <w:szCs w:val="28"/>
        </w:rPr>
        <w:t>scudo penale</w:t>
      </w:r>
      <w:r w:rsidR="004666A4">
        <w:rPr>
          <w:rFonts w:ascii="Garamond" w:hAnsi="Garamond"/>
          <w:szCs w:val="28"/>
        </w:rPr>
        <w:t>”) non può trovare</w:t>
      </w:r>
      <w:r w:rsidR="009127AE">
        <w:rPr>
          <w:rFonts w:ascii="Garamond" w:hAnsi="Garamond"/>
          <w:szCs w:val="28"/>
        </w:rPr>
        <w:t xml:space="preserve"> applicazione, non solo perché l’escl</w:t>
      </w:r>
      <w:r w:rsidR="003957AA">
        <w:rPr>
          <w:rFonts w:ascii="Garamond" w:hAnsi="Garamond"/>
          <w:szCs w:val="28"/>
        </w:rPr>
        <w:t xml:space="preserve">usione della punibilità </w:t>
      </w:r>
      <w:r w:rsidR="003957AA" w:rsidRPr="007739BA">
        <w:rPr>
          <w:rFonts w:ascii="Garamond" w:hAnsi="Garamond"/>
          <w:szCs w:val="28"/>
        </w:rPr>
        <w:t>esclude</w:t>
      </w:r>
      <w:r w:rsidR="0040526A" w:rsidRPr="007739BA">
        <w:rPr>
          <w:rFonts w:ascii="Garamond" w:hAnsi="Garamond"/>
          <w:szCs w:val="28"/>
        </w:rPr>
        <w:t xml:space="preserve"> </w:t>
      </w:r>
      <w:r w:rsidR="0040526A">
        <w:rPr>
          <w:rFonts w:ascii="Garamond" w:hAnsi="Garamond"/>
          <w:szCs w:val="28"/>
        </w:rPr>
        <w:t>le ipotesi di “</w:t>
      </w:r>
      <w:r w:rsidR="0040526A" w:rsidRPr="0040526A">
        <w:rPr>
          <w:rFonts w:ascii="Garamond" w:hAnsi="Garamond"/>
          <w:i/>
          <w:szCs w:val="28"/>
        </w:rPr>
        <w:t>colpa grave</w:t>
      </w:r>
      <w:r w:rsidR="0040526A">
        <w:rPr>
          <w:rFonts w:ascii="Garamond" w:hAnsi="Garamond"/>
          <w:szCs w:val="28"/>
        </w:rPr>
        <w:t>”</w:t>
      </w:r>
      <w:r w:rsidR="00C53570">
        <w:rPr>
          <w:rFonts w:ascii="Garamond" w:hAnsi="Garamond"/>
          <w:szCs w:val="28"/>
        </w:rPr>
        <w:t xml:space="preserve"> (e, nel caso di specie ogni sanitario è pienamente consapevole della coercizione operata su molti dei soggetti che </w:t>
      </w:r>
      <w:r w:rsidR="00C53570">
        <w:rPr>
          <w:rFonts w:ascii="Garamond" w:hAnsi="Garamond"/>
          <w:szCs w:val="28"/>
        </w:rPr>
        <w:lastRenderedPageBreak/>
        <w:t>si presentano per la somministrazione del cd. “</w:t>
      </w:r>
      <w:r w:rsidR="00C53570" w:rsidRPr="00C53570">
        <w:rPr>
          <w:rFonts w:ascii="Garamond" w:hAnsi="Garamond"/>
          <w:i/>
          <w:szCs w:val="28"/>
        </w:rPr>
        <w:t>vaccino</w:t>
      </w:r>
      <w:r w:rsidR="00C53570">
        <w:rPr>
          <w:rFonts w:ascii="Garamond" w:hAnsi="Garamond"/>
          <w:szCs w:val="28"/>
        </w:rPr>
        <w:t xml:space="preserve">” </w:t>
      </w:r>
      <w:proofErr w:type="spellStart"/>
      <w:r w:rsidR="00C53570">
        <w:rPr>
          <w:rFonts w:ascii="Garamond" w:hAnsi="Garamond"/>
          <w:szCs w:val="28"/>
        </w:rPr>
        <w:t>Antisars</w:t>
      </w:r>
      <w:proofErr w:type="spellEnd"/>
      <w:r w:rsidR="00C53570">
        <w:rPr>
          <w:rFonts w:ascii="Garamond" w:hAnsi="Garamond"/>
          <w:szCs w:val="28"/>
        </w:rPr>
        <w:t xml:space="preserve"> </w:t>
      </w:r>
      <w:proofErr w:type="spellStart"/>
      <w:r w:rsidR="00C53570">
        <w:rPr>
          <w:rFonts w:ascii="Garamond" w:hAnsi="Garamond"/>
          <w:szCs w:val="28"/>
        </w:rPr>
        <w:t>Cov</w:t>
      </w:r>
      <w:proofErr w:type="spellEnd"/>
      <w:r w:rsidR="00C53570">
        <w:rPr>
          <w:rFonts w:ascii="Garamond" w:hAnsi="Garamond"/>
          <w:szCs w:val="28"/>
        </w:rPr>
        <w:t xml:space="preserve"> 2</w:t>
      </w:r>
      <w:r w:rsidR="00010500">
        <w:rPr>
          <w:rFonts w:ascii="Garamond" w:hAnsi="Garamond"/>
          <w:szCs w:val="28"/>
        </w:rPr>
        <w:t>, e dunque della violazione dell’art. 1 del succitato Codice</w:t>
      </w:r>
      <w:r w:rsidR="00EB3170">
        <w:rPr>
          <w:rFonts w:ascii="Garamond" w:hAnsi="Garamond"/>
          <w:szCs w:val="28"/>
        </w:rPr>
        <w:t xml:space="preserve"> di Norimberga), ma soprattutto perché </w:t>
      </w:r>
      <w:r w:rsidR="00EB3170" w:rsidRPr="000F4402">
        <w:rPr>
          <w:rFonts w:ascii="Garamond" w:hAnsi="Garamond"/>
          <w:b/>
          <w:szCs w:val="28"/>
          <w:u w:val="single"/>
        </w:rPr>
        <w:t>un’esclusione di punibilità previst</w:t>
      </w:r>
      <w:r w:rsidR="00670F09" w:rsidRPr="000F4402">
        <w:rPr>
          <w:rFonts w:ascii="Garamond" w:hAnsi="Garamond"/>
          <w:b/>
          <w:szCs w:val="28"/>
          <w:u w:val="single"/>
        </w:rPr>
        <w:t>a da una legge di un Parlamento nazionale soccombe</w:t>
      </w:r>
      <w:r w:rsidR="002D198D" w:rsidRPr="000F4402">
        <w:rPr>
          <w:rFonts w:ascii="Garamond" w:hAnsi="Garamond"/>
          <w:b/>
          <w:szCs w:val="28"/>
          <w:u w:val="single"/>
        </w:rPr>
        <w:t xml:space="preserve"> dinnanzi ad una fonte del diritto comunitario, in quanto gerarchicamente inferiore</w:t>
      </w:r>
      <w:r w:rsidR="002D198D">
        <w:rPr>
          <w:rFonts w:ascii="Garamond" w:hAnsi="Garamond"/>
          <w:szCs w:val="28"/>
        </w:rPr>
        <w:t>;</w:t>
      </w:r>
    </w:p>
    <w:p w:rsidR="0025599B" w:rsidRDefault="00AD3127" w:rsidP="00BC71C4">
      <w:pPr>
        <w:pStyle w:val="Paragrafoelenco"/>
        <w:numPr>
          <w:ilvl w:val="0"/>
          <w:numId w:val="1"/>
        </w:numPr>
        <w:spacing w:line="360" w:lineRule="auto"/>
        <w:ind w:left="454"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Le </w:t>
      </w:r>
      <w:r w:rsidR="0025599B">
        <w:rPr>
          <w:rFonts w:ascii="Garamond" w:hAnsi="Garamond"/>
          <w:szCs w:val="28"/>
        </w:rPr>
        <w:t xml:space="preserve">condotte poste in essere dai </w:t>
      </w:r>
      <w:r>
        <w:rPr>
          <w:rFonts w:ascii="Garamond" w:hAnsi="Garamond"/>
          <w:szCs w:val="28"/>
        </w:rPr>
        <w:t>sanitari potrebbero integrare la fattispecie del</w:t>
      </w:r>
      <w:r w:rsidR="0025599B">
        <w:rPr>
          <w:rFonts w:ascii="Garamond" w:hAnsi="Garamond"/>
          <w:szCs w:val="28"/>
        </w:rPr>
        <w:t xml:space="preserve"> concorso formale nel reato di estorsione (artt. 110 </w:t>
      </w:r>
      <w:proofErr w:type="spellStart"/>
      <w:r w:rsidR="0025599B">
        <w:rPr>
          <w:rFonts w:ascii="Garamond" w:hAnsi="Garamond"/>
          <w:szCs w:val="28"/>
        </w:rPr>
        <w:t>cpp</w:t>
      </w:r>
      <w:proofErr w:type="spellEnd"/>
      <w:r w:rsidR="0025599B">
        <w:rPr>
          <w:rFonts w:ascii="Garamond" w:hAnsi="Garamond"/>
          <w:szCs w:val="28"/>
        </w:rPr>
        <w:t xml:space="preserve"> e 629 c.p.), violenza privata (610 c.p.), minaccia (612 c.p.), </w:t>
      </w:r>
      <w:r>
        <w:rPr>
          <w:rFonts w:ascii="Garamond" w:hAnsi="Garamond"/>
          <w:szCs w:val="28"/>
        </w:rPr>
        <w:t xml:space="preserve">ragion per cui la presente viene inviata alle Procure di Milano e Roma per le indagini del caso, </w:t>
      </w:r>
      <w:r w:rsidR="0025599B">
        <w:rPr>
          <w:rFonts w:ascii="Garamond" w:hAnsi="Garamond"/>
          <w:szCs w:val="28"/>
        </w:rPr>
        <w:t xml:space="preserve">mentre sul piano civilistico, essendo la volontà del paziente estorta con violenza e/o errore, l’annullamento del contratto </w:t>
      </w:r>
      <w:r w:rsidR="0025599B" w:rsidRPr="0025599B">
        <w:rPr>
          <w:rFonts w:ascii="Garamond" w:hAnsi="Garamond"/>
          <w:i/>
          <w:szCs w:val="28"/>
        </w:rPr>
        <w:t>ex</w:t>
      </w:r>
      <w:r w:rsidR="0025599B">
        <w:rPr>
          <w:rFonts w:ascii="Garamond" w:hAnsi="Garamond"/>
          <w:szCs w:val="28"/>
        </w:rPr>
        <w:t xml:space="preserve"> art.1427 c.c., con i conseguenti ri</w:t>
      </w:r>
      <w:r w:rsidR="00196D85">
        <w:rPr>
          <w:rFonts w:ascii="Garamond" w:hAnsi="Garamond"/>
          <w:szCs w:val="28"/>
        </w:rPr>
        <w:t>medi previsti dall’Ordinamento;</w:t>
      </w:r>
    </w:p>
    <w:p w:rsidR="00196D85" w:rsidRDefault="00196D85" w:rsidP="00196D85">
      <w:pPr>
        <w:spacing w:line="360" w:lineRule="auto"/>
        <w:ind w:right="170"/>
        <w:jc w:val="both"/>
        <w:rPr>
          <w:rFonts w:ascii="Garamond" w:hAnsi="Garamond"/>
          <w:szCs w:val="28"/>
        </w:rPr>
      </w:pPr>
    </w:p>
    <w:p w:rsidR="00196D85" w:rsidRDefault="00AE511D" w:rsidP="00302CF1">
      <w:pPr>
        <w:spacing w:line="360" w:lineRule="auto"/>
        <w:ind w:left="454"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Per tutte le premesse</w:t>
      </w:r>
      <w:r w:rsidRPr="00AE511D">
        <w:rPr>
          <w:rFonts w:ascii="Garamond" w:hAnsi="Garamond"/>
          <w:i/>
          <w:szCs w:val="28"/>
        </w:rPr>
        <w:t xml:space="preserve"> </w:t>
      </w:r>
      <w:proofErr w:type="spellStart"/>
      <w:r w:rsidRPr="00AE511D">
        <w:rPr>
          <w:rFonts w:ascii="Garamond" w:hAnsi="Garamond"/>
          <w:i/>
          <w:szCs w:val="28"/>
        </w:rPr>
        <w:t>supra</w:t>
      </w:r>
      <w:proofErr w:type="spellEnd"/>
      <w:r>
        <w:rPr>
          <w:rFonts w:ascii="Garamond" w:hAnsi="Garamond"/>
          <w:szCs w:val="28"/>
        </w:rPr>
        <w:t xml:space="preserve"> articolate, l</w:t>
      </w:r>
      <w:r w:rsidR="00196D85">
        <w:rPr>
          <w:rFonts w:ascii="Garamond" w:hAnsi="Garamond"/>
          <w:szCs w:val="28"/>
        </w:rPr>
        <w:t>a presente vale dunque quale formal</w:t>
      </w:r>
      <w:r w:rsidR="001508BA">
        <w:rPr>
          <w:rFonts w:ascii="Garamond" w:hAnsi="Garamond"/>
          <w:szCs w:val="28"/>
        </w:rPr>
        <w:t>e intimazione</w:t>
      </w:r>
      <w:r w:rsidR="00196D85">
        <w:rPr>
          <w:rFonts w:ascii="Garamond" w:hAnsi="Garamond"/>
          <w:szCs w:val="28"/>
        </w:rPr>
        <w:t>, rivolta a</w:t>
      </w:r>
      <w:r w:rsidR="00EF4FB4">
        <w:rPr>
          <w:rFonts w:ascii="Garamond" w:hAnsi="Garamond"/>
          <w:szCs w:val="28"/>
        </w:rPr>
        <w:t xml:space="preserve"> codesta Ill.ma Federazione perché provveda, </w:t>
      </w:r>
      <w:r w:rsidR="00EF4FB4" w:rsidRPr="00EF4FB4">
        <w:rPr>
          <w:rFonts w:ascii="Garamond" w:hAnsi="Garamond"/>
          <w:b/>
          <w:szCs w:val="28"/>
          <w:u w:val="single"/>
        </w:rPr>
        <w:t>entro e non oltre dieci (10) giorni dal ricevim</w:t>
      </w:r>
      <w:r w:rsidR="00955811">
        <w:rPr>
          <w:rFonts w:ascii="Garamond" w:hAnsi="Garamond"/>
          <w:b/>
          <w:szCs w:val="28"/>
          <w:u w:val="single"/>
        </w:rPr>
        <w:t>ento della presente</w:t>
      </w:r>
      <w:r w:rsidR="00EF4FB4">
        <w:rPr>
          <w:rFonts w:ascii="Garamond" w:hAnsi="Garamond"/>
          <w:szCs w:val="28"/>
        </w:rPr>
        <w:t>:</w:t>
      </w:r>
    </w:p>
    <w:p w:rsidR="00EF4FB4" w:rsidRDefault="00EF4FB4" w:rsidP="00955811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</w:p>
    <w:p w:rsidR="00955811" w:rsidRDefault="00955811" w:rsidP="004803E4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  <w:r w:rsidRPr="00CF7DE1">
        <w:rPr>
          <w:rFonts w:ascii="Garamond" w:hAnsi="Garamond"/>
          <w:b/>
          <w:szCs w:val="28"/>
        </w:rPr>
        <w:t>1)</w:t>
      </w:r>
      <w:r>
        <w:rPr>
          <w:rFonts w:ascii="Garamond" w:hAnsi="Garamond"/>
          <w:szCs w:val="28"/>
        </w:rPr>
        <w:t xml:space="preserve"> </w:t>
      </w:r>
      <w:r w:rsidRPr="00230EE9">
        <w:rPr>
          <w:rFonts w:ascii="Garamond" w:hAnsi="Garamond"/>
          <w:b/>
          <w:szCs w:val="28"/>
          <w:u w:val="single"/>
        </w:rPr>
        <w:t>A</w:t>
      </w:r>
      <w:r w:rsidR="004803E4" w:rsidRPr="00230EE9">
        <w:rPr>
          <w:rFonts w:ascii="Garamond" w:hAnsi="Garamond"/>
          <w:b/>
          <w:szCs w:val="28"/>
          <w:u w:val="single"/>
        </w:rPr>
        <w:t xml:space="preserve"> ribadire</w:t>
      </w:r>
      <w:r w:rsidR="004803E4">
        <w:rPr>
          <w:rFonts w:ascii="Garamond" w:hAnsi="Garamond"/>
          <w:szCs w:val="28"/>
        </w:rPr>
        <w:t>, a</w:t>
      </w:r>
      <w:r>
        <w:rPr>
          <w:rFonts w:ascii="Garamond" w:hAnsi="Garamond"/>
          <w:szCs w:val="28"/>
        </w:rPr>
        <w:t xml:space="preserve"> tutti gli is</w:t>
      </w:r>
      <w:r w:rsidR="00562D1D">
        <w:rPr>
          <w:rFonts w:ascii="Garamond" w:hAnsi="Garamond"/>
          <w:szCs w:val="28"/>
        </w:rPr>
        <w:t xml:space="preserve">critti alla </w:t>
      </w:r>
      <w:r w:rsidR="00562D1D" w:rsidRPr="00562D1D">
        <w:rPr>
          <w:rFonts w:ascii="Garamond" w:hAnsi="Garamond"/>
          <w:szCs w:val="28"/>
        </w:rPr>
        <w:t>Federazione Nazionale Ordine dei Medici Chirurghi e Odontoiatri</w:t>
      </w:r>
      <w:r w:rsidR="00230EE9">
        <w:rPr>
          <w:rFonts w:ascii="Garamond" w:hAnsi="Garamond"/>
          <w:szCs w:val="28"/>
        </w:rPr>
        <w:t>,</w:t>
      </w:r>
      <w:r w:rsidR="00562D1D">
        <w:rPr>
          <w:rFonts w:ascii="Garamond" w:hAnsi="Garamond"/>
          <w:szCs w:val="28"/>
        </w:rPr>
        <w:t xml:space="preserve"> con</w:t>
      </w:r>
      <w:r w:rsidR="004803E4">
        <w:rPr>
          <w:rFonts w:ascii="Garamond" w:hAnsi="Garamond"/>
          <w:szCs w:val="28"/>
        </w:rPr>
        <w:t xml:space="preserve"> i mezzi ritenuti più opportuni, la necessità di provvedere con prescrizione medica per quanto concerne la somministrazione di tutti i cd “</w:t>
      </w:r>
      <w:r w:rsidR="004803E4" w:rsidRPr="004803E4">
        <w:rPr>
          <w:rFonts w:ascii="Garamond" w:hAnsi="Garamond"/>
          <w:i/>
          <w:szCs w:val="28"/>
        </w:rPr>
        <w:t>vaccini</w:t>
      </w:r>
      <w:r w:rsidR="004803E4">
        <w:rPr>
          <w:rFonts w:ascii="Garamond" w:hAnsi="Garamond"/>
          <w:szCs w:val="28"/>
        </w:rPr>
        <w:t>”</w:t>
      </w:r>
      <w:r w:rsidR="004803E4" w:rsidRPr="002E384B">
        <w:rPr>
          <w:rFonts w:ascii="Garamond" w:hAnsi="Garamond"/>
          <w:szCs w:val="28"/>
        </w:rPr>
        <w:t xml:space="preserve"> Covid-19</w:t>
      </w:r>
      <w:r w:rsidR="008B312C">
        <w:rPr>
          <w:rFonts w:ascii="Garamond" w:hAnsi="Garamond"/>
          <w:szCs w:val="28"/>
        </w:rPr>
        <w:t xml:space="preserve"> ai propri pazienti</w:t>
      </w:r>
      <w:r w:rsidR="004803E4">
        <w:rPr>
          <w:rFonts w:ascii="Garamond" w:hAnsi="Garamond"/>
          <w:szCs w:val="28"/>
        </w:rPr>
        <w:t xml:space="preserve">, </w:t>
      </w:r>
      <w:r w:rsidR="00F47F87">
        <w:rPr>
          <w:rFonts w:ascii="Garamond" w:hAnsi="Garamond"/>
          <w:szCs w:val="28"/>
        </w:rPr>
        <w:t xml:space="preserve">ricordando che l’omessa prescrizione rileva sia sul piano deontologico sia sul piano penale, integrando il reato di omissione di atti d’ufficio </w:t>
      </w:r>
      <w:r w:rsidR="00F47F87" w:rsidRPr="00F47F87">
        <w:rPr>
          <w:rFonts w:ascii="Garamond" w:hAnsi="Garamond"/>
          <w:i/>
          <w:szCs w:val="28"/>
        </w:rPr>
        <w:t>ex</w:t>
      </w:r>
      <w:r w:rsidR="00812487">
        <w:rPr>
          <w:rFonts w:ascii="Garamond" w:hAnsi="Garamond"/>
          <w:szCs w:val="28"/>
        </w:rPr>
        <w:t xml:space="preserve"> art. 3</w:t>
      </w:r>
      <w:r w:rsidR="00F47F87">
        <w:rPr>
          <w:rFonts w:ascii="Garamond" w:hAnsi="Garamond"/>
          <w:szCs w:val="28"/>
        </w:rPr>
        <w:t xml:space="preserve">28 c.p., e </w:t>
      </w:r>
      <w:r w:rsidR="00F628A8">
        <w:rPr>
          <w:rFonts w:ascii="Garamond" w:hAnsi="Garamond"/>
          <w:szCs w:val="28"/>
        </w:rPr>
        <w:t xml:space="preserve"> </w:t>
      </w:r>
      <w:r w:rsidR="00F47F87">
        <w:rPr>
          <w:rFonts w:ascii="Garamond" w:hAnsi="Garamond"/>
          <w:szCs w:val="28"/>
        </w:rPr>
        <w:t>qualunque altro reato che la Procura vorrà qualificare;</w:t>
      </w:r>
    </w:p>
    <w:p w:rsidR="00F47F87" w:rsidRDefault="00F47F87" w:rsidP="004803E4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</w:p>
    <w:p w:rsidR="00F47F87" w:rsidRDefault="00F47F87" w:rsidP="004803E4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  <w:r w:rsidRPr="00CF7DE1">
        <w:rPr>
          <w:rFonts w:ascii="Garamond" w:hAnsi="Garamond"/>
          <w:b/>
          <w:sz w:val="28"/>
          <w:szCs w:val="28"/>
        </w:rPr>
        <w:t>2)</w:t>
      </w:r>
      <w:r w:rsidRPr="00CF7DE1">
        <w:rPr>
          <w:rFonts w:ascii="Garamond" w:hAnsi="Garamond"/>
          <w:sz w:val="28"/>
          <w:szCs w:val="28"/>
        </w:rPr>
        <w:t xml:space="preserve"> </w:t>
      </w:r>
      <w:r w:rsidRPr="006C39D6">
        <w:rPr>
          <w:rFonts w:ascii="Garamond" w:hAnsi="Garamond"/>
          <w:b/>
          <w:szCs w:val="28"/>
          <w:u w:val="single"/>
        </w:rPr>
        <w:t>A</w:t>
      </w:r>
      <w:r w:rsidR="006C39D6" w:rsidRPr="006C39D6">
        <w:rPr>
          <w:rFonts w:ascii="Garamond" w:hAnsi="Garamond"/>
          <w:b/>
          <w:szCs w:val="28"/>
          <w:u w:val="single"/>
        </w:rPr>
        <w:t xml:space="preserve"> fornire</w:t>
      </w:r>
      <w:r w:rsidR="006C39D6">
        <w:rPr>
          <w:rFonts w:ascii="Garamond" w:hAnsi="Garamond"/>
          <w:szCs w:val="28"/>
        </w:rPr>
        <w:t xml:space="preserve"> tutte le informazioni in merito alla somministrazione dei cd. “v</w:t>
      </w:r>
      <w:r w:rsidR="006C39D6" w:rsidRPr="006C39D6">
        <w:rPr>
          <w:rFonts w:ascii="Garamond" w:hAnsi="Garamond"/>
          <w:i/>
          <w:szCs w:val="28"/>
        </w:rPr>
        <w:t>accini</w:t>
      </w:r>
      <w:r w:rsidR="006C39D6">
        <w:rPr>
          <w:rFonts w:ascii="Garamond" w:hAnsi="Garamond"/>
          <w:szCs w:val="28"/>
        </w:rPr>
        <w:t>” Covid-19</w:t>
      </w:r>
      <w:r w:rsidR="00812487">
        <w:rPr>
          <w:rFonts w:ascii="Garamond" w:hAnsi="Garamond"/>
          <w:szCs w:val="28"/>
        </w:rPr>
        <w:t>, e dunque esaustive, con particolare riguardo alla tecnologia utilizzata, alla natura sperimentale del farmaco, alla potenziale pericolosità degli stessi, e alla mancanza di dati circa gli effetti di tali sieri nel tempo;</w:t>
      </w:r>
    </w:p>
    <w:p w:rsidR="00703C8A" w:rsidRDefault="00703C8A" w:rsidP="004803E4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</w:p>
    <w:p w:rsidR="00703C8A" w:rsidRDefault="00703C8A" w:rsidP="004803E4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  <w:r w:rsidRPr="00703C8A">
        <w:rPr>
          <w:rFonts w:ascii="Garamond" w:hAnsi="Garamond"/>
          <w:b/>
          <w:szCs w:val="28"/>
        </w:rPr>
        <w:t xml:space="preserve">3) </w:t>
      </w:r>
      <w:r w:rsidR="00F405B3" w:rsidRPr="00F405B3">
        <w:rPr>
          <w:rFonts w:ascii="Garamond" w:hAnsi="Garamond"/>
          <w:b/>
          <w:szCs w:val="28"/>
          <w:u w:val="single"/>
        </w:rPr>
        <w:t xml:space="preserve">Ad </w:t>
      </w:r>
      <w:proofErr w:type="spellStart"/>
      <w:r w:rsidR="00F405B3" w:rsidRPr="00F405B3">
        <w:rPr>
          <w:rFonts w:ascii="Garamond" w:hAnsi="Garamond"/>
          <w:b/>
          <w:szCs w:val="28"/>
          <w:u w:val="single"/>
        </w:rPr>
        <w:t>acqusire</w:t>
      </w:r>
      <w:proofErr w:type="spellEnd"/>
      <w:r w:rsidR="00F405B3" w:rsidRPr="00801E3A">
        <w:rPr>
          <w:rFonts w:ascii="Garamond" w:hAnsi="Garamond"/>
          <w:b/>
          <w:szCs w:val="28"/>
        </w:rPr>
        <w:t xml:space="preserve"> </w:t>
      </w:r>
      <w:r w:rsidR="00F405B3" w:rsidRPr="00F405B3">
        <w:rPr>
          <w:rFonts w:ascii="Garamond" w:hAnsi="Garamond"/>
          <w:szCs w:val="28"/>
        </w:rPr>
        <w:t>un consenso libero ed informato, o</w:t>
      </w:r>
      <w:r w:rsidR="00F405B3" w:rsidRPr="00801E3A">
        <w:rPr>
          <w:rFonts w:ascii="Garamond" w:hAnsi="Garamond"/>
          <w:szCs w:val="28"/>
        </w:rPr>
        <w:t>vvero</w:t>
      </w:r>
      <w:r w:rsidR="00F405B3" w:rsidRPr="00801E3A">
        <w:rPr>
          <w:rFonts w:ascii="Garamond" w:hAnsi="Garamond"/>
          <w:b/>
          <w:szCs w:val="28"/>
        </w:rPr>
        <w:t xml:space="preserve"> </w:t>
      </w:r>
      <w:r w:rsidR="00801E3A" w:rsidRPr="00801E3A">
        <w:rPr>
          <w:rFonts w:ascii="Garamond" w:hAnsi="Garamond"/>
          <w:szCs w:val="28"/>
        </w:rPr>
        <w:t xml:space="preserve">ad </w:t>
      </w:r>
      <w:r w:rsidR="00801E3A">
        <w:rPr>
          <w:rFonts w:ascii="Garamond" w:hAnsi="Garamond"/>
          <w:szCs w:val="28"/>
        </w:rPr>
        <w:t>astenersi dal procedere alla somministrazione dei summenzionati sieri in tutti quei casi in cui il medico abbia contezza</w:t>
      </w:r>
      <w:r w:rsidR="00601C8B">
        <w:rPr>
          <w:rFonts w:ascii="Garamond" w:hAnsi="Garamond"/>
          <w:szCs w:val="28"/>
        </w:rPr>
        <w:t xml:space="preserve"> (come nel caso di tutti i destinatari della legislazione richiamata nei primi tre punti della presente missiva), o il fondato sospetto (per tutti gli altri casi), </w:t>
      </w:r>
      <w:r w:rsidR="00801E3A">
        <w:rPr>
          <w:rFonts w:ascii="Garamond" w:hAnsi="Garamond"/>
          <w:szCs w:val="28"/>
        </w:rPr>
        <w:t>di qualsivoglia forma di pressione, coercizione, inganno, minaccia</w:t>
      </w:r>
      <w:r w:rsidR="00601C8B">
        <w:rPr>
          <w:rFonts w:ascii="Garamond" w:hAnsi="Garamond"/>
          <w:szCs w:val="28"/>
        </w:rPr>
        <w:t xml:space="preserve"> esercitata</w:t>
      </w:r>
      <w:r w:rsidR="006E2692">
        <w:rPr>
          <w:rFonts w:ascii="Garamond" w:hAnsi="Garamond"/>
          <w:szCs w:val="28"/>
        </w:rPr>
        <w:t xml:space="preserve"> sul paziente, rendendo il Vs. iscritto</w:t>
      </w:r>
      <w:r w:rsidR="00447A7F">
        <w:rPr>
          <w:rFonts w:ascii="Garamond" w:hAnsi="Garamond"/>
          <w:szCs w:val="28"/>
        </w:rPr>
        <w:t xml:space="preserve"> edotto di tutte le conseguenze sul piano civile e penale, nazio</w:t>
      </w:r>
      <w:r w:rsidR="006E2692">
        <w:rPr>
          <w:rFonts w:ascii="Garamond" w:hAnsi="Garamond"/>
          <w:szCs w:val="28"/>
        </w:rPr>
        <w:t>nale e internazionale in caso contrario, con particolare richiamo all’art. 27 della Costituzione italiana e al principio della responsabilità personale in materia penale;</w:t>
      </w:r>
    </w:p>
    <w:p w:rsidR="006E2692" w:rsidRDefault="006E2692" w:rsidP="004803E4">
      <w:pPr>
        <w:pStyle w:val="Paragrafoelenco"/>
        <w:spacing w:line="360" w:lineRule="auto"/>
        <w:ind w:right="170"/>
        <w:jc w:val="both"/>
        <w:rPr>
          <w:rFonts w:ascii="Garamond" w:hAnsi="Garamond"/>
          <w:b/>
          <w:szCs w:val="28"/>
        </w:rPr>
      </w:pPr>
    </w:p>
    <w:p w:rsidR="006E2692" w:rsidRDefault="006E2692" w:rsidP="004803E4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 xml:space="preserve">4) </w:t>
      </w:r>
      <w:r>
        <w:rPr>
          <w:rFonts w:ascii="Garamond" w:hAnsi="Garamond"/>
          <w:b/>
          <w:szCs w:val="28"/>
          <w:u w:val="single"/>
        </w:rPr>
        <w:t>A rettificare</w:t>
      </w:r>
      <w:r w:rsidRPr="006E2692">
        <w:rPr>
          <w:rFonts w:ascii="Garamond" w:hAnsi="Garamond"/>
          <w:b/>
          <w:szCs w:val="28"/>
        </w:rPr>
        <w:t xml:space="preserve"> </w:t>
      </w:r>
      <w:r>
        <w:rPr>
          <w:rFonts w:ascii="Garamond" w:hAnsi="Garamond"/>
          <w:szCs w:val="28"/>
        </w:rPr>
        <w:t>il “</w:t>
      </w:r>
      <w:r w:rsidRPr="006E2692">
        <w:rPr>
          <w:rFonts w:ascii="Garamond" w:hAnsi="Garamond"/>
          <w:i/>
          <w:szCs w:val="28"/>
        </w:rPr>
        <w:t>Documento sui vaccini</w:t>
      </w:r>
      <w:r>
        <w:rPr>
          <w:rFonts w:ascii="Garamond" w:hAnsi="Garamond"/>
          <w:szCs w:val="28"/>
        </w:rPr>
        <w:t xml:space="preserve">” </w:t>
      </w:r>
      <w:proofErr w:type="spellStart"/>
      <w:r>
        <w:rPr>
          <w:rFonts w:ascii="Garamond" w:hAnsi="Garamond"/>
          <w:szCs w:val="28"/>
        </w:rPr>
        <w:t>FNOMCeO</w:t>
      </w:r>
      <w:proofErr w:type="spellEnd"/>
      <w:r>
        <w:rPr>
          <w:rFonts w:ascii="Garamond" w:hAnsi="Garamond"/>
          <w:szCs w:val="28"/>
        </w:rPr>
        <w:t>, dell’08 Luglio 2016, al punto 15), nella parte in cui si dichiara che “</w:t>
      </w:r>
      <w:r w:rsidRPr="006E2692">
        <w:rPr>
          <w:rFonts w:ascii="Garamond" w:hAnsi="Garamond"/>
          <w:i/>
          <w:szCs w:val="28"/>
        </w:rPr>
        <w:t>Il consiglio di non vaccinarsi nelle restanti condizioni, in particolare se fornito al pubblico con qualsiasi mezzo, costituisce infrazione deontologica</w:t>
      </w:r>
      <w:r>
        <w:rPr>
          <w:rFonts w:ascii="Garamond" w:hAnsi="Garamond"/>
          <w:szCs w:val="28"/>
        </w:rPr>
        <w:t xml:space="preserve">”, </w:t>
      </w:r>
      <w:r w:rsidR="005A2303">
        <w:rPr>
          <w:rFonts w:ascii="Garamond" w:hAnsi="Garamond"/>
          <w:szCs w:val="28"/>
        </w:rPr>
        <w:t>giacché nulla di ciò viene statuito nel Codice deontologico di settore, ribadendo la piena libertà di ogni sanitario di agire in “</w:t>
      </w:r>
      <w:r w:rsidR="005A2303" w:rsidRPr="005A2303">
        <w:rPr>
          <w:rFonts w:ascii="Garamond" w:hAnsi="Garamond"/>
          <w:i/>
          <w:szCs w:val="28"/>
        </w:rPr>
        <w:t>scienza e coscienza</w:t>
      </w:r>
      <w:r w:rsidR="005A2303">
        <w:rPr>
          <w:rFonts w:ascii="Garamond" w:hAnsi="Garamond"/>
          <w:szCs w:val="28"/>
        </w:rPr>
        <w:t xml:space="preserve">”, </w:t>
      </w:r>
      <w:r w:rsidR="005A2303">
        <w:rPr>
          <w:rFonts w:ascii="Garamond" w:hAnsi="Garamond"/>
          <w:szCs w:val="28"/>
        </w:rPr>
        <w:lastRenderedPageBreak/>
        <w:t>nonché la piena applicabilità dell’art. 21 della Costituzione in tema di libertà di manifestazione del pensiero in ogni sua forma;</w:t>
      </w:r>
    </w:p>
    <w:p w:rsidR="005A2303" w:rsidRDefault="005A2303" w:rsidP="004803E4">
      <w:pPr>
        <w:pStyle w:val="Paragrafoelenco"/>
        <w:spacing w:line="360" w:lineRule="auto"/>
        <w:ind w:right="170"/>
        <w:jc w:val="both"/>
        <w:rPr>
          <w:rFonts w:ascii="Garamond" w:hAnsi="Garamond"/>
          <w:b/>
          <w:szCs w:val="28"/>
        </w:rPr>
      </w:pPr>
    </w:p>
    <w:p w:rsidR="009442DF" w:rsidRDefault="005A2303" w:rsidP="009442DF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 xml:space="preserve">5) </w:t>
      </w:r>
      <w:r w:rsidRPr="005A2303">
        <w:rPr>
          <w:rFonts w:ascii="Garamond" w:hAnsi="Garamond"/>
          <w:b/>
          <w:szCs w:val="28"/>
          <w:u w:val="single"/>
        </w:rPr>
        <w:t>A far pervenire</w:t>
      </w:r>
      <w:r w:rsidR="009442DF">
        <w:rPr>
          <w:rFonts w:ascii="Garamond" w:hAnsi="Garamond"/>
          <w:szCs w:val="28"/>
        </w:rPr>
        <w:t>, alle Procure di Milano e Roma, ed al Procuratore presso l’</w:t>
      </w:r>
      <w:r w:rsidR="009442DF" w:rsidRPr="009442DF">
        <w:rPr>
          <w:rFonts w:ascii="Garamond" w:hAnsi="Garamond"/>
          <w:szCs w:val="28"/>
        </w:rPr>
        <w:t xml:space="preserve">International </w:t>
      </w:r>
      <w:proofErr w:type="spellStart"/>
      <w:r w:rsidR="009442DF" w:rsidRPr="009442DF">
        <w:rPr>
          <w:rFonts w:ascii="Garamond" w:hAnsi="Garamond"/>
          <w:szCs w:val="28"/>
        </w:rPr>
        <w:t>Criminal</w:t>
      </w:r>
      <w:proofErr w:type="spellEnd"/>
      <w:r w:rsidR="009442DF" w:rsidRPr="009442DF">
        <w:rPr>
          <w:rFonts w:ascii="Garamond" w:hAnsi="Garamond"/>
          <w:szCs w:val="28"/>
        </w:rPr>
        <w:t xml:space="preserve"> Court</w:t>
      </w:r>
      <w:r w:rsidR="009442DF">
        <w:rPr>
          <w:rFonts w:ascii="Garamond" w:hAnsi="Garamond"/>
          <w:szCs w:val="28"/>
        </w:rPr>
        <w:t xml:space="preserve"> alle quali la presente viene indirizzata, l’elenco completo di tutti i dati dei sanitari che hanno proceduto alla somministrazione di tutti i cd “</w:t>
      </w:r>
      <w:r w:rsidR="009442DF" w:rsidRPr="004803E4">
        <w:rPr>
          <w:rFonts w:ascii="Garamond" w:hAnsi="Garamond"/>
          <w:i/>
          <w:szCs w:val="28"/>
        </w:rPr>
        <w:t>vaccini</w:t>
      </w:r>
      <w:r w:rsidR="009442DF">
        <w:rPr>
          <w:rFonts w:ascii="Garamond" w:hAnsi="Garamond"/>
          <w:szCs w:val="28"/>
        </w:rPr>
        <w:t>”</w:t>
      </w:r>
      <w:r w:rsidR="009442DF" w:rsidRPr="002E384B">
        <w:rPr>
          <w:rFonts w:ascii="Garamond" w:hAnsi="Garamond"/>
          <w:szCs w:val="28"/>
        </w:rPr>
        <w:t xml:space="preserve"> Covid-19</w:t>
      </w:r>
      <w:r w:rsidR="009442DF">
        <w:rPr>
          <w:rFonts w:ascii="Garamond" w:hAnsi="Garamond"/>
          <w:szCs w:val="28"/>
        </w:rPr>
        <w:t xml:space="preserve">, con indicazione dell’Ordine professionale di appartenenza, per le </w:t>
      </w:r>
      <w:proofErr w:type="spellStart"/>
      <w:r w:rsidR="009442DF" w:rsidRPr="009442DF">
        <w:rPr>
          <w:rFonts w:ascii="Garamond" w:hAnsi="Garamond"/>
          <w:i/>
          <w:szCs w:val="28"/>
        </w:rPr>
        <w:t>espletandi</w:t>
      </w:r>
      <w:proofErr w:type="spellEnd"/>
      <w:r w:rsidR="009442DF" w:rsidRPr="009442DF">
        <w:rPr>
          <w:rFonts w:ascii="Garamond" w:hAnsi="Garamond"/>
          <w:i/>
          <w:szCs w:val="28"/>
        </w:rPr>
        <w:t xml:space="preserve"> </w:t>
      </w:r>
      <w:r w:rsidR="009442DF">
        <w:rPr>
          <w:rFonts w:ascii="Garamond" w:hAnsi="Garamond"/>
          <w:szCs w:val="28"/>
        </w:rPr>
        <w:t>indagini,</w:t>
      </w:r>
    </w:p>
    <w:p w:rsidR="009442DF" w:rsidRDefault="009442DF" w:rsidP="009442DF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</w:p>
    <w:p w:rsidR="009442DF" w:rsidRDefault="009442DF" w:rsidP="009442DF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con avviso che, in difetto, si procederà con le azioni tutte previste dall’Ordinamento, nazionale e comunitario.</w:t>
      </w:r>
    </w:p>
    <w:p w:rsidR="009442DF" w:rsidRDefault="009442DF" w:rsidP="009442DF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</w:p>
    <w:p w:rsidR="009442DF" w:rsidRDefault="009442DF" w:rsidP="009442DF">
      <w:pPr>
        <w:pStyle w:val="Paragrafoelenco"/>
        <w:spacing w:line="360" w:lineRule="auto"/>
        <w:ind w:right="170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Distinti saluti,</w:t>
      </w:r>
    </w:p>
    <w:p w:rsidR="009442DF" w:rsidRDefault="009442DF" w:rsidP="009442DF">
      <w:pPr>
        <w:pStyle w:val="Paragrafoelenco"/>
        <w:spacing w:line="360" w:lineRule="auto"/>
        <w:ind w:right="170"/>
        <w:jc w:val="both"/>
        <w:rPr>
          <w:rFonts w:ascii="Garamond" w:hAnsi="Garamond"/>
          <w:b/>
          <w:szCs w:val="28"/>
        </w:rPr>
      </w:pPr>
    </w:p>
    <w:p w:rsidR="0035707E" w:rsidRDefault="0035707E" w:rsidP="00BC71C4">
      <w:pPr>
        <w:spacing w:line="360" w:lineRule="auto"/>
        <w:ind w:left="454" w:right="170"/>
        <w:jc w:val="both"/>
        <w:rPr>
          <w:rFonts w:ascii="Garamond" w:hAnsi="Garamond"/>
          <w:szCs w:val="28"/>
        </w:rPr>
      </w:pPr>
    </w:p>
    <w:p w:rsidR="00D02608" w:rsidRDefault="00E81938" w:rsidP="00E81938">
      <w:pPr>
        <w:spacing w:line="360" w:lineRule="auto"/>
        <w:ind w:left="454" w:right="170"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       </w:t>
      </w:r>
      <w:r w:rsidR="009442DF">
        <w:rPr>
          <w:rFonts w:ascii="Garamond" w:hAnsi="Garamond"/>
          <w:szCs w:val="28"/>
        </w:rPr>
        <w:t>Milano (MI), li 17.01.2022</w:t>
      </w:r>
    </w:p>
    <w:p w:rsidR="007E1EFF" w:rsidRPr="007E1EFF" w:rsidRDefault="007E1EFF" w:rsidP="00BC71C4">
      <w:pPr>
        <w:spacing w:line="360" w:lineRule="auto"/>
        <w:ind w:left="454" w:right="170"/>
        <w:jc w:val="right"/>
        <w:rPr>
          <w:rFonts w:ascii="Garamond" w:hAnsi="Garamond"/>
          <w:szCs w:val="28"/>
        </w:rPr>
      </w:pPr>
    </w:p>
    <w:p w:rsidR="00F84167" w:rsidRDefault="007E1EFF" w:rsidP="00BC71C4">
      <w:pPr>
        <w:spacing w:line="360" w:lineRule="auto"/>
        <w:ind w:left="454" w:right="170"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                   </w:t>
      </w:r>
      <w:r w:rsidR="00DC1223" w:rsidRPr="007E1EFF">
        <w:rPr>
          <w:rFonts w:ascii="Garamond" w:hAnsi="Garamond"/>
          <w:szCs w:val="28"/>
        </w:rPr>
        <w:t xml:space="preserve">Avv. Pier Luigi </w:t>
      </w:r>
      <w:proofErr w:type="spellStart"/>
      <w:r w:rsidR="00DC1223" w:rsidRPr="007E1EFF">
        <w:rPr>
          <w:rFonts w:ascii="Garamond" w:hAnsi="Garamond"/>
          <w:szCs w:val="28"/>
        </w:rPr>
        <w:t>Fettolini</w:t>
      </w:r>
      <w:proofErr w:type="spellEnd"/>
    </w:p>
    <w:p w:rsidR="004E36D1" w:rsidRDefault="004E36D1" w:rsidP="00BC71C4">
      <w:pPr>
        <w:spacing w:line="360" w:lineRule="auto"/>
        <w:ind w:left="454" w:right="170"/>
        <w:jc w:val="center"/>
        <w:rPr>
          <w:rFonts w:ascii="Garamond" w:hAnsi="Garamond"/>
          <w:szCs w:val="28"/>
        </w:rPr>
      </w:pPr>
    </w:p>
    <w:p w:rsidR="009442DF" w:rsidRPr="007E1EFF" w:rsidRDefault="009442DF" w:rsidP="009442DF">
      <w:pPr>
        <w:spacing w:line="360" w:lineRule="auto"/>
        <w:ind w:left="6826" w:right="170" w:firstLine="254"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Avv. Greta </w:t>
      </w:r>
      <w:proofErr w:type="spellStart"/>
      <w:r>
        <w:rPr>
          <w:rFonts w:ascii="Garamond" w:hAnsi="Garamond"/>
          <w:szCs w:val="28"/>
        </w:rPr>
        <w:t>Dancelli</w:t>
      </w:r>
      <w:proofErr w:type="spellEnd"/>
    </w:p>
    <w:p w:rsidR="00DC1223" w:rsidRPr="007E1EFF" w:rsidRDefault="00DC1223" w:rsidP="00BC71C4">
      <w:pPr>
        <w:spacing w:line="360" w:lineRule="auto"/>
        <w:ind w:left="454" w:right="170"/>
        <w:jc w:val="right"/>
        <w:rPr>
          <w:rFonts w:ascii="Garamond" w:hAnsi="Garamond"/>
          <w:szCs w:val="28"/>
        </w:rPr>
      </w:pPr>
    </w:p>
    <w:p w:rsidR="00D02608" w:rsidRDefault="00D02608" w:rsidP="00BC71C4">
      <w:pPr>
        <w:spacing w:line="360" w:lineRule="auto"/>
        <w:ind w:left="454" w:right="170"/>
        <w:rPr>
          <w:rFonts w:ascii="Garamond" w:hAnsi="Garamond"/>
          <w:b/>
          <w:szCs w:val="28"/>
        </w:rPr>
      </w:pPr>
    </w:p>
    <w:p w:rsidR="0035707E" w:rsidRDefault="0035707E" w:rsidP="007E1EFF">
      <w:pPr>
        <w:spacing w:line="360" w:lineRule="auto"/>
        <w:rPr>
          <w:rFonts w:ascii="Garamond" w:hAnsi="Garamond"/>
          <w:b/>
          <w:szCs w:val="28"/>
        </w:rPr>
      </w:pPr>
    </w:p>
    <w:p w:rsidR="006A06F7" w:rsidRDefault="006A06F7" w:rsidP="007E1EFF">
      <w:pPr>
        <w:spacing w:line="360" w:lineRule="auto"/>
        <w:rPr>
          <w:rFonts w:ascii="Garamond" w:hAnsi="Garamond"/>
          <w:b/>
          <w:szCs w:val="28"/>
        </w:rPr>
      </w:pPr>
    </w:p>
    <w:p w:rsidR="006A06F7" w:rsidRDefault="006A06F7" w:rsidP="007E1EFF">
      <w:pPr>
        <w:spacing w:line="360" w:lineRule="auto"/>
        <w:rPr>
          <w:rFonts w:ascii="Garamond" w:hAnsi="Garamond"/>
          <w:b/>
          <w:szCs w:val="28"/>
        </w:rPr>
      </w:pPr>
    </w:p>
    <w:p w:rsidR="006A06F7" w:rsidRDefault="006A06F7" w:rsidP="007E1EFF">
      <w:pPr>
        <w:spacing w:line="360" w:lineRule="auto"/>
        <w:rPr>
          <w:rFonts w:ascii="Garamond" w:hAnsi="Garamond"/>
          <w:b/>
          <w:szCs w:val="28"/>
        </w:rPr>
      </w:pPr>
    </w:p>
    <w:p w:rsidR="00887047" w:rsidRDefault="00887047" w:rsidP="007E1EFF">
      <w:pPr>
        <w:spacing w:line="360" w:lineRule="auto"/>
        <w:rPr>
          <w:rFonts w:ascii="Garamond" w:hAnsi="Garamond"/>
          <w:b/>
          <w:szCs w:val="28"/>
        </w:rPr>
      </w:pPr>
    </w:p>
    <w:p w:rsidR="00887047" w:rsidRDefault="00887047" w:rsidP="007E1EFF">
      <w:pPr>
        <w:spacing w:line="360" w:lineRule="auto"/>
        <w:rPr>
          <w:rFonts w:ascii="Garamond" w:hAnsi="Garamond"/>
          <w:b/>
          <w:szCs w:val="28"/>
        </w:rPr>
      </w:pPr>
    </w:p>
    <w:p w:rsidR="00887047" w:rsidRDefault="00887047" w:rsidP="007E1EFF">
      <w:pPr>
        <w:spacing w:line="360" w:lineRule="auto"/>
        <w:rPr>
          <w:rFonts w:ascii="Garamond" w:hAnsi="Garamond"/>
          <w:b/>
          <w:szCs w:val="28"/>
        </w:rPr>
      </w:pPr>
    </w:p>
    <w:p w:rsidR="00887047" w:rsidRDefault="00887047" w:rsidP="007E1EFF">
      <w:pPr>
        <w:spacing w:line="360" w:lineRule="auto"/>
        <w:rPr>
          <w:rFonts w:ascii="Garamond" w:hAnsi="Garamond"/>
          <w:b/>
          <w:szCs w:val="28"/>
        </w:rPr>
      </w:pPr>
    </w:p>
    <w:p w:rsidR="00887047" w:rsidRDefault="00887047" w:rsidP="007E1EFF">
      <w:pPr>
        <w:spacing w:line="360" w:lineRule="auto"/>
        <w:rPr>
          <w:rFonts w:ascii="Garamond" w:hAnsi="Garamond"/>
          <w:b/>
          <w:szCs w:val="28"/>
        </w:rPr>
      </w:pPr>
    </w:p>
    <w:p w:rsidR="00F47364" w:rsidRDefault="00F47364" w:rsidP="007E1EFF">
      <w:pPr>
        <w:spacing w:line="360" w:lineRule="auto"/>
        <w:rPr>
          <w:rFonts w:ascii="Garamond" w:hAnsi="Garamond"/>
          <w:b/>
          <w:szCs w:val="28"/>
        </w:rPr>
      </w:pPr>
    </w:p>
    <w:p w:rsidR="00E81938" w:rsidRDefault="00E81938" w:rsidP="007E1EFF">
      <w:pPr>
        <w:spacing w:line="360" w:lineRule="auto"/>
        <w:rPr>
          <w:rFonts w:ascii="Garamond" w:hAnsi="Garamond"/>
          <w:b/>
          <w:szCs w:val="28"/>
        </w:rPr>
      </w:pPr>
    </w:p>
    <w:p w:rsidR="00D02608" w:rsidRDefault="00D02608" w:rsidP="007E1EFF">
      <w:pPr>
        <w:spacing w:line="360" w:lineRule="auto"/>
        <w:rPr>
          <w:rFonts w:ascii="Garamond" w:hAnsi="Garamond"/>
          <w:b/>
          <w:szCs w:val="28"/>
        </w:rPr>
      </w:pPr>
    </w:p>
    <w:p w:rsidR="006A06F7" w:rsidRDefault="006A06F7" w:rsidP="007E1EFF">
      <w:pPr>
        <w:spacing w:line="360" w:lineRule="auto"/>
        <w:rPr>
          <w:rFonts w:ascii="Garamond" w:hAnsi="Garamond"/>
          <w:b/>
          <w:szCs w:val="28"/>
        </w:rPr>
      </w:pPr>
    </w:p>
    <w:p w:rsidR="009B1BA7" w:rsidRDefault="00151BE7" w:rsidP="00F84167">
      <w:pPr>
        <w:ind w:left="-426"/>
        <w:rPr>
          <w:rFonts w:ascii="Marker Felt" w:hAnsi="Marker Felt"/>
          <w:sz w:val="20"/>
          <w:szCs w:val="20"/>
        </w:rPr>
      </w:pPr>
      <w:r>
        <w:rPr>
          <w:rFonts w:ascii="Marker Felt" w:hAnsi="Marker Felt"/>
          <w:noProof/>
        </w:rPr>
        <w:drawing>
          <wp:inline distT="0" distB="0" distL="0" distR="0">
            <wp:extent cx="7138800" cy="381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 B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7" w:rsidRDefault="009B1BA7" w:rsidP="00F84167">
      <w:pPr>
        <w:ind w:left="-426"/>
        <w:rPr>
          <w:rFonts w:ascii="Marker Felt" w:hAnsi="Marker Felt"/>
          <w:sz w:val="20"/>
          <w:szCs w:val="20"/>
        </w:rPr>
      </w:pPr>
    </w:p>
    <w:p w:rsidR="00376442" w:rsidRPr="00113099" w:rsidRDefault="00D02608" w:rsidP="00376442">
      <w:pPr>
        <w:ind w:left="-426"/>
        <w:rPr>
          <w:rFonts w:ascii="Marker Felt" w:hAnsi="Marker Felt"/>
          <w:sz w:val="20"/>
          <w:szCs w:val="20"/>
        </w:rPr>
      </w:pPr>
      <w:r>
        <w:rPr>
          <w:rFonts w:ascii="Marker Felt" w:hAnsi="Marker Felt"/>
          <w:b/>
          <w:sz w:val="20"/>
          <w:szCs w:val="20"/>
        </w:rPr>
        <w:t xml:space="preserve">            </w:t>
      </w:r>
    </w:p>
    <w:p w:rsidR="00472CA8" w:rsidRPr="00113099" w:rsidRDefault="00472CA8" w:rsidP="0039078D">
      <w:pPr>
        <w:ind w:left="-426"/>
        <w:rPr>
          <w:rFonts w:ascii="Marker Felt" w:hAnsi="Marker Felt"/>
          <w:sz w:val="20"/>
          <w:szCs w:val="20"/>
        </w:rPr>
      </w:pPr>
    </w:p>
    <w:sectPr w:rsidR="00472CA8" w:rsidRPr="00113099" w:rsidSect="00F84167">
      <w:pgSz w:w="11900" w:h="16840"/>
      <w:pgMar w:top="1135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rker Felt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487"/>
    <w:multiLevelType w:val="hybridMultilevel"/>
    <w:tmpl w:val="94AC23B8"/>
    <w:lvl w:ilvl="0" w:tplc="0410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74" w:hanging="360"/>
      </w:pPr>
    </w:lvl>
    <w:lvl w:ilvl="2" w:tplc="0410001B" w:tentative="1">
      <w:start w:val="1"/>
      <w:numFmt w:val="lowerRoman"/>
      <w:lvlText w:val="%3."/>
      <w:lvlJc w:val="right"/>
      <w:pPr>
        <w:ind w:left="1894" w:hanging="180"/>
      </w:pPr>
    </w:lvl>
    <w:lvl w:ilvl="3" w:tplc="0410000F" w:tentative="1">
      <w:start w:val="1"/>
      <w:numFmt w:val="decimal"/>
      <w:lvlText w:val="%4."/>
      <w:lvlJc w:val="left"/>
      <w:pPr>
        <w:ind w:left="2614" w:hanging="360"/>
      </w:pPr>
    </w:lvl>
    <w:lvl w:ilvl="4" w:tplc="04100019" w:tentative="1">
      <w:start w:val="1"/>
      <w:numFmt w:val="lowerLetter"/>
      <w:lvlText w:val="%5."/>
      <w:lvlJc w:val="left"/>
      <w:pPr>
        <w:ind w:left="3334" w:hanging="360"/>
      </w:pPr>
    </w:lvl>
    <w:lvl w:ilvl="5" w:tplc="0410001B" w:tentative="1">
      <w:start w:val="1"/>
      <w:numFmt w:val="lowerRoman"/>
      <w:lvlText w:val="%6."/>
      <w:lvlJc w:val="right"/>
      <w:pPr>
        <w:ind w:left="4054" w:hanging="180"/>
      </w:pPr>
    </w:lvl>
    <w:lvl w:ilvl="6" w:tplc="0410000F" w:tentative="1">
      <w:start w:val="1"/>
      <w:numFmt w:val="decimal"/>
      <w:lvlText w:val="%7."/>
      <w:lvlJc w:val="left"/>
      <w:pPr>
        <w:ind w:left="4774" w:hanging="360"/>
      </w:pPr>
    </w:lvl>
    <w:lvl w:ilvl="7" w:tplc="04100019" w:tentative="1">
      <w:start w:val="1"/>
      <w:numFmt w:val="lowerLetter"/>
      <w:lvlText w:val="%8."/>
      <w:lvlJc w:val="left"/>
      <w:pPr>
        <w:ind w:left="5494" w:hanging="360"/>
      </w:pPr>
    </w:lvl>
    <w:lvl w:ilvl="8" w:tplc="0410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47625136"/>
    <w:multiLevelType w:val="hybridMultilevel"/>
    <w:tmpl w:val="06C0314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D4343"/>
    <w:multiLevelType w:val="hybridMultilevel"/>
    <w:tmpl w:val="990ABF86"/>
    <w:lvl w:ilvl="0" w:tplc="F2CE5CB2">
      <w:start w:val="1"/>
      <w:numFmt w:val="lowerLetter"/>
      <w:lvlText w:val="%1)"/>
      <w:lvlJc w:val="left"/>
      <w:pPr>
        <w:ind w:left="4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4" w:hanging="360"/>
      </w:pPr>
    </w:lvl>
    <w:lvl w:ilvl="2" w:tplc="0410001B" w:tentative="1">
      <w:start w:val="1"/>
      <w:numFmt w:val="lowerRoman"/>
      <w:lvlText w:val="%3."/>
      <w:lvlJc w:val="right"/>
      <w:pPr>
        <w:ind w:left="1894" w:hanging="180"/>
      </w:pPr>
    </w:lvl>
    <w:lvl w:ilvl="3" w:tplc="0410000F" w:tentative="1">
      <w:start w:val="1"/>
      <w:numFmt w:val="decimal"/>
      <w:lvlText w:val="%4."/>
      <w:lvlJc w:val="left"/>
      <w:pPr>
        <w:ind w:left="2614" w:hanging="360"/>
      </w:pPr>
    </w:lvl>
    <w:lvl w:ilvl="4" w:tplc="04100019" w:tentative="1">
      <w:start w:val="1"/>
      <w:numFmt w:val="lowerLetter"/>
      <w:lvlText w:val="%5."/>
      <w:lvlJc w:val="left"/>
      <w:pPr>
        <w:ind w:left="3334" w:hanging="360"/>
      </w:pPr>
    </w:lvl>
    <w:lvl w:ilvl="5" w:tplc="0410001B" w:tentative="1">
      <w:start w:val="1"/>
      <w:numFmt w:val="lowerRoman"/>
      <w:lvlText w:val="%6."/>
      <w:lvlJc w:val="right"/>
      <w:pPr>
        <w:ind w:left="4054" w:hanging="180"/>
      </w:pPr>
    </w:lvl>
    <w:lvl w:ilvl="6" w:tplc="0410000F" w:tentative="1">
      <w:start w:val="1"/>
      <w:numFmt w:val="decimal"/>
      <w:lvlText w:val="%7."/>
      <w:lvlJc w:val="left"/>
      <w:pPr>
        <w:ind w:left="4774" w:hanging="360"/>
      </w:pPr>
    </w:lvl>
    <w:lvl w:ilvl="7" w:tplc="04100019" w:tentative="1">
      <w:start w:val="1"/>
      <w:numFmt w:val="lowerLetter"/>
      <w:lvlText w:val="%8."/>
      <w:lvlJc w:val="left"/>
      <w:pPr>
        <w:ind w:left="5494" w:hanging="360"/>
      </w:pPr>
    </w:lvl>
    <w:lvl w:ilvl="8" w:tplc="0410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6F15403F"/>
    <w:multiLevelType w:val="hybridMultilevel"/>
    <w:tmpl w:val="D7B83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A25B3"/>
    <w:multiLevelType w:val="hybridMultilevel"/>
    <w:tmpl w:val="CF6E2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67"/>
    <w:rsid w:val="00010500"/>
    <w:rsid w:val="00022856"/>
    <w:rsid w:val="00040DC0"/>
    <w:rsid w:val="00042ED1"/>
    <w:rsid w:val="0004530D"/>
    <w:rsid w:val="0005125D"/>
    <w:rsid w:val="0005213A"/>
    <w:rsid w:val="000818F7"/>
    <w:rsid w:val="00081EE7"/>
    <w:rsid w:val="00083332"/>
    <w:rsid w:val="00090EEC"/>
    <w:rsid w:val="000943F6"/>
    <w:rsid w:val="000A26FF"/>
    <w:rsid w:val="000A6A0C"/>
    <w:rsid w:val="000B0D49"/>
    <w:rsid w:val="000B2500"/>
    <w:rsid w:val="000C243E"/>
    <w:rsid w:val="000D4F5F"/>
    <w:rsid w:val="000D6683"/>
    <w:rsid w:val="000E0864"/>
    <w:rsid w:val="000E7AC6"/>
    <w:rsid w:val="000F4402"/>
    <w:rsid w:val="0011172F"/>
    <w:rsid w:val="00113099"/>
    <w:rsid w:val="001138AF"/>
    <w:rsid w:val="00117E34"/>
    <w:rsid w:val="00126470"/>
    <w:rsid w:val="00134255"/>
    <w:rsid w:val="001377FD"/>
    <w:rsid w:val="00141778"/>
    <w:rsid w:val="00143ED5"/>
    <w:rsid w:val="00150877"/>
    <w:rsid w:val="001508BA"/>
    <w:rsid w:val="00151BE7"/>
    <w:rsid w:val="0016349B"/>
    <w:rsid w:val="001714A6"/>
    <w:rsid w:val="00171BBB"/>
    <w:rsid w:val="00182E98"/>
    <w:rsid w:val="00196B4C"/>
    <w:rsid w:val="00196D85"/>
    <w:rsid w:val="001C463C"/>
    <w:rsid w:val="001C4EA4"/>
    <w:rsid w:val="001C6ACB"/>
    <w:rsid w:val="001C7FB5"/>
    <w:rsid w:val="001D00EB"/>
    <w:rsid w:val="001F428A"/>
    <w:rsid w:val="0020250D"/>
    <w:rsid w:val="0020716E"/>
    <w:rsid w:val="00226CDD"/>
    <w:rsid w:val="0022705F"/>
    <w:rsid w:val="00230EE9"/>
    <w:rsid w:val="002419C0"/>
    <w:rsid w:val="0025529B"/>
    <w:rsid w:val="002558B7"/>
    <w:rsid w:val="0025599B"/>
    <w:rsid w:val="002559DC"/>
    <w:rsid w:val="00263AAD"/>
    <w:rsid w:val="00291B11"/>
    <w:rsid w:val="002941A8"/>
    <w:rsid w:val="002B18FA"/>
    <w:rsid w:val="002B2D38"/>
    <w:rsid w:val="002C34CD"/>
    <w:rsid w:val="002D198D"/>
    <w:rsid w:val="002D5180"/>
    <w:rsid w:val="002E02CA"/>
    <w:rsid w:val="002E0BEB"/>
    <w:rsid w:val="002E2627"/>
    <w:rsid w:val="002E384B"/>
    <w:rsid w:val="002E639D"/>
    <w:rsid w:val="002F15E9"/>
    <w:rsid w:val="002F38FF"/>
    <w:rsid w:val="0030009A"/>
    <w:rsid w:val="00302CF1"/>
    <w:rsid w:val="00311E16"/>
    <w:rsid w:val="0032362B"/>
    <w:rsid w:val="0032719B"/>
    <w:rsid w:val="00332054"/>
    <w:rsid w:val="00350F6D"/>
    <w:rsid w:val="00354616"/>
    <w:rsid w:val="00355EB8"/>
    <w:rsid w:val="003561D1"/>
    <w:rsid w:val="0035707E"/>
    <w:rsid w:val="00357C6A"/>
    <w:rsid w:val="00363878"/>
    <w:rsid w:val="003740F5"/>
    <w:rsid w:val="00376442"/>
    <w:rsid w:val="00387677"/>
    <w:rsid w:val="0039078D"/>
    <w:rsid w:val="00393E53"/>
    <w:rsid w:val="003957AA"/>
    <w:rsid w:val="003A3F43"/>
    <w:rsid w:val="003A59BC"/>
    <w:rsid w:val="003A5EA1"/>
    <w:rsid w:val="003A6771"/>
    <w:rsid w:val="003A74B8"/>
    <w:rsid w:val="003B0175"/>
    <w:rsid w:val="003B6A82"/>
    <w:rsid w:val="003B7E4D"/>
    <w:rsid w:val="003C0387"/>
    <w:rsid w:val="003C2E1A"/>
    <w:rsid w:val="003D2B2B"/>
    <w:rsid w:val="003D367B"/>
    <w:rsid w:val="003D44C8"/>
    <w:rsid w:val="003F6EB0"/>
    <w:rsid w:val="0040526A"/>
    <w:rsid w:val="00407274"/>
    <w:rsid w:val="00407DC0"/>
    <w:rsid w:val="00436AA6"/>
    <w:rsid w:val="00437931"/>
    <w:rsid w:val="0044117D"/>
    <w:rsid w:val="00444CB3"/>
    <w:rsid w:val="00445E90"/>
    <w:rsid w:val="00447A7F"/>
    <w:rsid w:val="004577FF"/>
    <w:rsid w:val="004666A4"/>
    <w:rsid w:val="004671E2"/>
    <w:rsid w:val="00472CA8"/>
    <w:rsid w:val="0047314F"/>
    <w:rsid w:val="004742D1"/>
    <w:rsid w:val="004803E4"/>
    <w:rsid w:val="004865CE"/>
    <w:rsid w:val="004866EA"/>
    <w:rsid w:val="00492F9B"/>
    <w:rsid w:val="00497351"/>
    <w:rsid w:val="004A7053"/>
    <w:rsid w:val="004B37C0"/>
    <w:rsid w:val="004C678C"/>
    <w:rsid w:val="004D4E63"/>
    <w:rsid w:val="004D616C"/>
    <w:rsid w:val="004E2464"/>
    <w:rsid w:val="004E345F"/>
    <w:rsid w:val="004E36D1"/>
    <w:rsid w:val="004E76FB"/>
    <w:rsid w:val="004F1013"/>
    <w:rsid w:val="004F5553"/>
    <w:rsid w:val="00502DB6"/>
    <w:rsid w:val="00512243"/>
    <w:rsid w:val="00512A0D"/>
    <w:rsid w:val="00526BCE"/>
    <w:rsid w:val="00534876"/>
    <w:rsid w:val="00542DB4"/>
    <w:rsid w:val="005443CA"/>
    <w:rsid w:val="00544C82"/>
    <w:rsid w:val="00562845"/>
    <w:rsid w:val="00562D1D"/>
    <w:rsid w:val="00577C67"/>
    <w:rsid w:val="0059543E"/>
    <w:rsid w:val="00596557"/>
    <w:rsid w:val="005A0D99"/>
    <w:rsid w:val="005A2303"/>
    <w:rsid w:val="005C1F12"/>
    <w:rsid w:val="005C4BB2"/>
    <w:rsid w:val="005D047F"/>
    <w:rsid w:val="005D0E70"/>
    <w:rsid w:val="005D2EC8"/>
    <w:rsid w:val="005D2F86"/>
    <w:rsid w:val="005D703B"/>
    <w:rsid w:val="005E31A4"/>
    <w:rsid w:val="005E6988"/>
    <w:rsid w:val="005E7F51"/>
    <w:rsid w:val="005F1637"/>
    <w:rsid w:val="005F4544"/>
    <w:rsid w:val="00601C8B"/>
    <w:rsid w:val="00603907"/>
    <w:rsid w:val="00605383"/>
    <w:rsid w:val="00612134"/>
    <w:rsid w:val="00651C3F"/>
    <w:rsid w:val="0065248E"/>
    <w:rsid w:val="00661CB6"/>
    <w:rsid w:val="006635C5"/>
    <w:rsid w:val="0066568B"/>
    <w:rsid w:val="00670F09"/>
    <w:rsid w:val="00671BFA"/>
    <w:rsid w:val="00685A74"/>
    <w:rsid w:val="006A06F7"/>
    <w:rsid w:val="006A132A"/>
    <w:rsid w:val="006B42D3"/>
    <w:rsid w:val="006C3178"/>
    <w:rsid w:val="006C39D6"/>
    <w:rsid w:val="006C5C1B"/>
    <w:rsid w:val="006E2692"/>
    <w:rsid w:val="006E65F7"/>
    <w:rsid w:val="006E6949"/>
    <w:rsid w:val="006F7549"/>
    <w:rsid w:val="006F7988"/>
    <w:rsid w:val="00702DA3"/>
    <w:rsid w:val="00703C8A"/>
    <w:rsid w:val="00713BC2"/>
    <w:rsid w:val="00715FD5"/>
    <w:rsid w:val="00716C6E"/>
    <w:rsid w:val="00733DBC"/>
    <w:rsid w:val="00747FC2"/>
    <w:rsid w:val="007638CE"/>
    <w:rsid w:val="007739BA"/>
    <w:rsid w:val="00774440"/>
    <w:rsid w:val="00777B1E"/>
    <w:rsid w:val="007B442E"/>
    <w:rsid w:val="007B5CCC"/>
    <w:rsid w:val="007C3A29"/>
    <w:rsid w:val="007D178F"/>
    <w:rsid w:val="007D419B"/>
    <w:rsid w:val="007E1EFF"/>
    <w:rsid w:val="007E517A"/>
    <w:rsid w:val="007F3A38"/>
    <w:rsid w:val="00801E3A"/>
    <w:rsid w:val="00802C30"/>
    <w:rsid w:val="0080445B"/>
    <w:rsid w:val="00804880"/>
    <w:rsid w:val="008074D9"/>
    <w:rsid w:val="00812487"/>
    <w:rsid w:val="00813189"/>
    <w:rsid w:val="008133B1"/>
    <w:rsid w:val="00821E0B"/>
    <w:rsid w:val="00831D0E"/>
    <w:rsid w:val="00845045"/>
    <w:rsid w:val="0085037A"/>
    <w:rsid w:val="008652A4"/>
    <w:rsid w:val="0086745C"/>
    <w:rsid w:val="008677F4"/>
    <w:rsid w:val="00874411"/>
    <w:rsid w:val="008761F4"/>
    <w:rsid w:val="00887047"/>
    <w:rsid w:val="00894A18"/>
    <w:rsid w:val="0089736B"/>
    <w:rsid w:val="00897DFF"/>
    <w:rsid w:val="008B312C"/>
    <w:rsid w:val="008B4FF2"/>
    <w:rsid w:val="008D2CB6"/>
    <w:rsid w:val="008E00E8"/>
    <w:rsid w:val="008F2A14"/>
    <w:rsid w:val="008F606C"/>
    <w:rsid w:val="008F66EF"/>
    <w:rsid w:val="009127AE"/>
    <w:rsid w:val="00915B6C"/>
    <w:rsid w:val="00916C67"/>
    <w:rsid w:val="009225EC"/>
    <w:rsid w:val="00922F1E"/>
    <w:rsid w:val="009442DF"/>
    <w:rsid w:val="00950F04"/>
    <w:rsid w:val="00952BEC"/>
    <w:rsid w:val="009546F1"/>
    <w:rsid w:val="00955811"/>
    <w:rsid w:val="009744A2"/>
    <w:rsid w:val="00977675"/>
    <w:rsid w:val="00977BB3"/>
    <w:rsid w:val="00982757"/>
    <w:rsid w:val="00983775"/>
    <w:rsid w:val="009B1BA7"/>
    <w:rsid w:val="009B2F57"/>
    <w:rsid w:val="009B4379"/>
    <w:rsid w:val="009D251D"/>
    <w:rsid w:val="009E59FE"/>
    <w:rsid w:val="009E6A41"/>
    <w:rsid w:val="009F298F"/>
    <w:rsid w:val="00A116B7"/>
    <w:rsid w:val="00A151EF"/>
    <w:rsid w:val="00A220EB"/>
    <w:rsid w:val="00A22129"/>
    <w:rsid w:val="00A23979"/>
    <w:rsid w:val="00A312C1"/>
    <w:rsid w:val="00A37BFA"/>
    <w:rsid w:val="00A41ABD"/>
    <w:rsid w:val="00A427C8"/>
    <w:rsid w:val="00A45CFA"/>
    <w:rsid w:val="00A50419"/>
    <w:rsid w:val="00A533D6"/>
    <w:rsid w:val="00A64224"/>
    <w:rsid w:val="00A7160A"/>
    <w:rsid w:val="00A816E6"/>
    <w:rsid w:val="00A83580"/>
    <w:rsid w:val="00A83B69"/>
    <w:rsid w:val="00A85848"/>
    <w:rsid w:val="00A861E5"/>
    <w:rsid w:val="00A95102"/>
    <w:rsid w:val="00AA61D7"/>
    <w:rsid w:val="00AA7784"/>
    <w:rsid w:val="00AC6939"/>
    <w:rsid w:val="00AD3127"/>
    <w:rsid w:val="00AD59E6"/>
    <w:rsid w:val="00AD76C8"/>
    <w:rsid w:val="00AE22DF"/>
    <w:rsid w:val="00AE2A21"/>
    <w:rsid w:val="00AE3C20"/>
    <w:rsid w:val="00AE511D"/>
    <w:rsid w:val="00AF03C7"/>
    <w:rsid w:val="00B03242"/>
    <w:rsid w:val="00B04A65"/>
    <w:rsid w:val="00B26FB9"/>
    <w:rsid w:val="00B33E20"/>
    <w:rsid w:val="00B3477A"/>
    <w:rsid w:val="00B37A2A"/>
    <w:rsid w:val="00B44614"/>
    <w:rsid w:val="00B5270D"/>
    <w:rsid w:val="00B662A4"/>
    <w:rsid w:val="00B756EB"/>
    <w:rsid w:val="00B7669D"/>
    <w:rsid w:val="00BA17D4"/>
    <w:rsid w:val="00BA36E9"/>
    <w:rsid w:val="00BA388D"/>
    <w:rsid w:val="00BA7DB6"/>
    <w:rsid w:val="00BC1B52"/>
    <w:rsid w:val="00BC5997"/>
    <w:rsid w:val="00BC71C4"/>
    <w:rsid w:val="00BD09D7"/>
    <w:rsid w:val="00BD165C"/>
    <w:rsid w:val="00BD5578"/>
    <w:rsid w:val="00BF60F3"/>
    <w:rsid w:val="00C06082"/>
    <w:rsid w:val="00C07665"/>
    <w:rsid w:val="00C14D61"/>
    <w:rsid w:val="00C16BAF"/>
    <w:rsid w:val="00C22553"/>
    <w:rsid w:val="00C30BF3"/>
    <w:rsid w:val="00C36873"/>
    <w:rsid w:val="00C53570"/>
    <w:rsid w:val="00C53B9E"/>
    <w:rsid w:val="00C60583"/>
    <w:rsid w:val="00C65720"/>
    <w:rsid w:val="00C668BE"/>
    <w:rsid w:val="00C9274D"/>
    <w:rsid w:val="00C93844"/>
    <w:rsid w:val="00C95714"/>
    <w:rsid w:val="00C97BF1"/>
    <w:rsid w:val="00CA56D0"/>
    <w:rsid w:val="00CC62DD"/>
    <w:rsid w:val="00CC70A2"/>
    <w:rsid w:val="00CD4D71"/>
    <w:rsid w:val="00CE1A71"/>
    <w:rsid w:val="00CE3165"/>
    <w:rsid w:val="00CF3242"/>
    <w:rsid w:val="00CF620F"/>
    <w:rsid w:val="00CF7DE1"/>
    <w:rsid w:val="00D02608"/>
    <w:rsid w:val="00D110DB"/>
    <w:rsid w:val="00D14E84"/>
    <w:rsid w:val="00D219F6"/>
    <w:rsid w:val="00D237B0"/>
    <w:rsid w:val="00D32CDE"/>
    <w:rsid w:val="00D35F06"/>
    <w:rsid w:val="00D4357A"/>
    <w:rsid w:val="00D50484"/>
    <w:rsid w:val="00D539BF"/>
    <w:rsid w:val="00D54706"/>
    <w:rsid w:val="00D55E3F"/>
    <w:rsid w:val="00D61FEC"/>
    <w:rsid w:val="00D67667"/>
    <w:rsid w:val="00D72723"/>
    <w:rsid w:val="00D83BBA"/>
    <w:rsid w:val="00D84BCA"/>
    <w:rsid w:val="00D9612F"/>
    <w:rsid w:val="00DA6817"/>
    <w:rsid w:val="00DA79B3"/>
    <w:rsid w:val="00DB31E9"/>
    <w:rsid w:val="00DB55B2"/>
    <w:rsid w:val="00DC1223"/>
    <w:rsid w:val="00DC581F"/>
    <w:rsid w:val="00DE2226"/>
    <w:rsid w:val="00DE2761"/>
    <w:rsid w:val="00DE3DF2"/>
    <w:rsid w:val="00DF7094"/>
    <w:rsid w:val="00E002A0"/>
    <w:rsid w:val="00E00A5A"/>
    <w:rsid w:val="00E039B3"/>
    <w:rsid w:val="00E04BFE"/>
    <w:rsid w:val="00E057A7"/>
    <w:rsid w:val="00E06C61"/>
    <w:rsid w:val="00E11852"/>
    <w:rsid w:val="00E170C5"/>
    <w:rsid w:val="00E33586"/>
    <w:rsid w:val="00E4747C"/>
    <w:rsid w:val="00E57FC0"/>
    <w:rsid w:val="00E6019C"/>
    <w:rsid w:val="00E671AF"/>
    <w:rsid w:val="00E72EF8"/>
    <w:rsid w:val="00E77268"/>
    <w:rsid w:val="00E81938"/>
    <w:rsid w:val="00E82CF9"/>
    <w:rsid w:val="00E83A4D"/>
    <w:rsid w:val="00E8467F"/>
    <w:rsid w:val="00E970BA"/>
    <w:rsid w:val="00EB3170"/>
    <w:rsid w:val="00EB6D4A"/>
    <w:rsid w:val="00EC4180"/>
    <w:rsid w:val="00EE0E4C"/>
    <w:rsid w:val="00EE2AB4"/>
    <w:rsid w:val="00EF07C9"/>
    <w:rsid w:val="00EF255E"/>
    <w:rsid w:val="00EF4FB4"/>
    <w:rsid w:val="00F26B05"/>
    <w:rsid w:val="00F34339"/>
    <w:rsid w:val="00F405B3"/>
    <w:rsid w:val="00F47364"/>
    <w:rsid w:val="00F47997"/>
    <w:rsid w:val="00F47F87"/>
    <w:rsid w:val="00F53C67"/>
    <w:rsid w:val="00F55C31"/>
    <w:rsid w:val="00F628A8"/>
    <w:rsid w:val="00F83E62"/>
    <w:rsid w:val="00F84167"/>
    <w:rsid w:val="00F93D53"/>
    <w:rsid w:val="00F972F0"/>
    <w:rsid w:val="00FA244A"/>
    <w:rsid w:val="00FA3DD1"/>
    <w:rsid w:val="00FA6B54"/>
    <w:rsid w:val="00FB3680"/>
    <w:rsid w:val="00FC4264"/>
    <w:rsid w:val="00FC629B"/>
    <w:rsid w:val="00FD06A4"/>
    <w:rsid w:val="00FD1704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84a40"/>
    </o:shapedefaults>
    <o:shapelayout v:ext="edit">
      <o:idmap v:ext="edit" data="1"/>
    </o:shapelayout>
  </w:shapeDefaults>
  <w:decimalSymbol w:val=","/>
  <w:listSeparator w:val=";"/>
  <w15:docId w15:val="{D700DEAF-78FF-4DEF-8A47-0938399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1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1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84167"/>
    <w:rPr>
      <w:rFonts w:ascii="Lucida Grande" w:eastAsia="MS Mincho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6C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documents/community-register/html/h1528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ma.europa.eu/en/medicines/human/EPAR/comirna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822F1-0C19-4BFA-A422-FAEC889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Links>
    <vt:vector size="12" baseType="variant">
      <vt:variant>
        <vt:i4>4194420</vt:i4>
      </vt:variant>
      <vt:variant>
        <vt:i4>2924</vt:i4>
      </vt:variant>
      <vt:variant>
        <vt:i4>1025</vt:i4>
      </vt:variant>
      <vt:variant>
        <vt:i4>1</vt:i4>
      </vt:variant>
      <vt:variant>
        <vt:lpwstr>LINEA BLU</vt:lpwstr>
      </vt:variant>
      <vt:variant>
        <vt:lpwstr/>
      </vt:variant>
      <vt:variant>
        <vt:i4>4194420</vt:i4>
      </vt:variant>
      <vt:variant>
        <vt:i4>2955</vt:i4>
      </vt:variant>
      <vt:variant>
        <vt:i4>1026</vt:i4>
      </vt:variant>
      <vt:variant>
        <vt:i4>1</vt:i4>
      </vt:variant>
      <vt:variant>
        <vt:lpwstr>LINEA BLU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Ponginibbio</dc:creator>
  <cp:lastModifiedBy>Carlo</cp:lastModifiedBy>
  <cp:revision>2</cp:revision>
  <cp:lastPrinted>2022-01-13T10:19:00Z</cp:lastPrinted>
  <dcterms:created xsi:type="dcterms:W3CDTF">2022-01-17T14:51:00Z</dcterms:created>
  <dcterms:modified xsi:type="dcterms:W3CDTF">2022-01-17T14:51:00Z</dcterms:modified>
</cp:coreProperties>
</file>